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CE7419" w:rsidRPr="00E927B3" w:rsidRDefault="00CE7419" w:rsidP="00CE7419">
      <w:pPr>
        <w:jc w:val="center"/>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sidR="000B4318">
        <w:rPr>
          <w:rFonts w:ascii="Times New Roman" w:hAnsi="Times New Roman"/>
          <w:b/>
          <w:color w:val="000000"/>
          <w:kern w:val="36"/>
          <w:sz w:val="24"/>
          <w:szCs w:val="24"/>
          <w:lang w:val="uk-UA" w:eastAsia="uk-UA"/>
        </w:rPr>
        <w:t>Послуги із заправки тонерів</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Pr>
          <w:rFonts w:ascii="Times New Roman" w:hAnsi="Times New Roman"/>
          <w:b/>
          <w:sz w:val="24"/>
          <w:szCs w:val="24"/>
          <w:lang w:val="uk-UA"/>
        </w:rPr>
        <w:t>50310000-1</w:t>
      </w:r>
      <w:r w:rsidRPr="00E927B3">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Технічне обслуговування і ремонт офісної техніки</w:t>
      </w:r>
      <w:r w:rsidRPr="00E927B3">
        <w:rPr>
          <w:rFonts w:ascii="Times New Roman" w:hAnsi="Times New Roman"/>
          <w:b/>
          <w:color w:val="000000"/>
          <w:sz w:val="24"/>
          <w:szCs w:val="24"/>
          <w:shd w:val="clear" w:color="auto" w:fill="FDFEFD"/>
          <w:lang w:val="uk-UA"/>
        </w:rPr>
        <w:t>»</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B01163" w:rsidRDefault="00B01163" w:rsidP="00416EAD">
      <w:pPr>
        <w:spacing w:before="120" w:after="120"/>
        <w:rPr>
          <w:rFonts w:ascii="Times New Roman" w:hAnsi="Times New Roman"/>
          <w:color w:val="000000" w:themeColor="text1"/>
          <w:sz w:val="24"/>
          <w:szCs w:val="24"/>
          <w:lang w:val="uk-UA"/>
        </w:rPr>
      </w:pPr>
    </w:p>
    <w:p w:rsidR="00CE7419" w:rsidRPr="00562304" w:rsidRDefault="00CE7419" w:rsidP="00416EAD">
      <w:pPr>
        <w:spacing w:before="120" w:after="120"/>
        <w:rPr>
          <w:rFonts w:ascii="Times New Roman" w:hAnsi="Times New Roman"/>
          <w:color w:val="000000" w:themeColor="text1"/>
          <w:sz w:val="24"/>
          <w:szCs w:val="24"/>
          <w:lang w:val="uk-UA"/>
        </w:rPr>
      </w:pPr>
    </w:p>
    <w:p w:rsidR="00A92B81" w:rsidRPr="00562304" w:rsidRDefault="0034581E" w:rsidP="00CE7419">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CE7419" w:rsidRDefault="00CE7419" w:rsidP="00CE7419">
            <w:pPr>
              <w:spacing w:after="0"/>
              <w:jc w:val="both"/>
              <w:rPr>
                <w:rFonts w:ascii="Times New Roman" w:hAnsi="Times New Roman"/>
                <w:lang w:val="uk-UA" w:eastAsia="uk-UA"/>
              </w:rPr>
            </w:pPr>
            <w:r>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до  головного державного інспектора відділу матеріального забезпечення </w:t>
            </w:r>
            <w:r>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Pr>
                <w:rFonts w:ascii="Times New Roman" w:hAnsi="Times New Roman"/>
                <w:i/>
                <w:lang w:val="uk-UA" w:eastAsia="uk-UA"/>
              </w:rPr>
              <w:t>Качинського Дмитра Мирославовича</w:t>
            </w:r>
            <w:r>
              <w:rPr>
                <w:rFonts w:ascii="Times New Roman" w:hAnsi="Times New Roman"/>
                <w:lang w:val="uk-UA" w:eastAsia="uk-UA"/>
              </w:rPr>
              <w:t xml:space="preserve">,  032 258 99 55, </w:t>
            </w:r>
            <w:r>
              <w:rPr>
                <w:rFonts w:ascii="Times New Roman" w:hAnsi="Times New Roman"/>
                <w:i/>
                <w:lang w:val="uk-UA" w:eastAsia="uk-UA"/>
              </w:rPr>
              <w:t>уповноваженої особи</w:t>
            </w:r>
            <w:r>
              <w:rPr>
                <w:rFonts w:ascii="Times New Roman" w:hAnsi="Times New Roman"/>
                <w:lang w:val="uk-UA" w:eastAsia="uk-UA"/>
              </w:rPr>
              <w:t xml:space="preserve"> </w:t>
            </w:r>
          </w:p>
          <w:p w:rsidR="00CE7419" w:rsidRDefault="00CE7419" w:rsidP="00CE7419">
            <w:pPr>
              <w:spacing w:before="150" w:after="0" w:line="240" w:lineRule="auto"/>
              <w:jc w:val="both"/>
              <w:rPr>
                <w:rFonts w:ascii="Times New Roman" w:hAnsi="Times New Roman"/>
                <w:i/>
                <w:color w:val="000000"/>
                <w:lang w:val="uk-UA"/>
              </w:rPr>
            </w:pPr>
            <w:r>
              <w:rPr>
                <w:rFonts w:ascii="Times New Roman" w:hAnsi="Times New Roman"/>
                <w:lang w:val="en-GB" w:eastAsia="uk-UA"/>
              </w:rPr>
              <w:t xml:space="preserve">e-mail: </w:t>
            </w:r>
            <w:hyperlink r:id="rId6" w:history="1">
              <w:r>
                <w:rPr>
                  <w:rStyle w:val="a4"/>
                  <w:i/>
                  <w:lang w:val="en-GB"/>
                </w:rPr>
                <w:t>roman.zahrai@ukr.net</w:t>
              </w:r>
            </w:hyperlink>
          </w:p>
          <w:p w:rsidR="00B01163" w:rsidRPr="00305604" w:rsidRDefault="00CE7419" w:rsidP="00CE7419">
            <w:pPr>
              <w:spacing w:before="150" w:after="0" w:line="240" w:lineRule="auto"/>
              <w:rPr>
                <w:rFonts w:ascii="Times New Roman" w:hAnsi="Times New Roman"/>
                <w:color w:val="000000" w:themeColor="text1"/>
                <w:sz w:val="24"/>
                <w:szCs w:val="24"/>
                <w:lang w:val="uk-UA" w:eastAsia="ru-RU"/>
              </w:rPr>
            </w:pPr>
            <w:r>
              <w:rPr>
                <w:rFonts w:ascii="Times New Roman" w:eastAsia="Batang" w:hAnsi="Times New Roman"/>
                <w:color w:val="000000"/>
                <w:lang w:val="uk-UA"/>
              </w:rPr>
              <w:t xml:space="preserve">З усіх питань, пов’язаних з отримання інформації щодо предмета закупівлі, його технічних, якісних та кількісних характеристик до головного державного інспектора ВМІТ Львівської митниці Карпінського Мирослава Миколайовича </w:t>
            </w:r>
            <w:r>
              <w:rPr>
                <w:rFonts w:ascii="Times New Roman" w:hAnsi="Times New Roman"/>
                <w:lang w:val="uk-UA" w:eastAsia="uk-UA"/>
              </w:rPr>
              <w:t>032 258 99 23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B01163" w:rsidRPr="00CE7419" w:rsidRDefault="00CE7419" w:rsidP="00CE7419">
            <w:pPr>
              <w:spacing w:after="0"/>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sidR="000B4318">
              <w:rPr>
                <w:rFonts w:ascii="Times New Roman" w:hAnsi="Times New Roman"/>
                <w:b/>
                <w:color w:val="000000"/>
                <w:kern w:val="36"/>
                <w:sz w:val="24"/>
                <w:szCs w:val="24"/>
                <w:lang w:val="uk-UA" w:eastAsia="uk-UA"/>
              </w:rPr>
              <w:t>Послуги із заправки тонерів</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Pr>
                <w:rFonts w:ascii="Times New Roman" w:hAnsi="Times New Roman"/>
                <w:b/>
                <w:sz w:val="24"/>
                <w:szCs w:val="24"/>
                <w:lang w:val="uk-UA"/>
              </w:rPr>
              <w:t>50310000-1</w:t>
            </w:r>
            <w:r w:rsidRPr="00E927B3">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Технічне обслуговування і ремонт офісної техніки</w:t>
            </w:r>
            <w:r w:rsidRPr="00E927B3">
              <w:rPr>
                <w:rFonts w:ascii="Times New Roman" w:hAnsi="Times New Roman"/>
                <w:b/>
                <w:color w:val="000000"/>
                <w:sz w:val="24"/>
                <w:szCs w:val="24"/>
                <w:shd w:val="clear" w:color="auto" w:fill="FDFEFD"/>
                <w:lang w:val="uk-UA"/>
              </w:rPr>
              <w:t>»</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CE7419" w:rsidRPr="00E927B3" w:rsidRDefault="00CE7419" w:rsidP="00CE7419">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 надання послуг</w:t>
            </w:r>
            <w:r>
              <w:rPr>
                <w:rFonts w:ascii="Times New Roman" w:hAnsi="Times New Roman"/>
                <w:sz w:val="24"/>
                <w:szCs w:val="24"/>
                <w:lang w:val="uk-UA" w:eastAsia="ru-RU"/>
              </w:rPr>
              <w:t>: 79000</w:t>
            </w:r>
            <w:r w:rsidRPr="00E927B3">
              <w:rPr>
                <w:rFonts w:ascii="Times New Roman" w:hAnsi="Times New Roman"/>
                <w:sz w:val="24"/>
                <w:szCs w:val="24"/>
                <w:lang w:val="uk-UA" w:eastAsia="ru-RU"/>
              </w:rPr>
              <w:t xml:space="preserve">, Україна, </w:t>
            </w:r>
            <w:r>
              <w:rPr>
                <w:rFonts w:ascii="Times New Roman" w:hAnsi="Times New Roman"/>
                <w:sz w:val="24"/>
                <w:szCs w:val="24"/>
                <w:lang w:val="uk-UA" w:eastAsia="ru-RU"/>
              </w:rPr>
              <w:t>м. Львів, вул. Костюшка,1.</w:t>
            </w:r>
          </w:p>
          <w:p w:rsidR="00B01163" w:rsidRPr="00562304" w:rsidRDefault="00CE7419" w:rsidP="00CE7419">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000B4318">
              <w:rPr>
                <w:rFonts w:ascii="Times New Roman" w:hAnsi="Times New Roman"/>
                <w:b/>
                <w:sz w:val="24"/>
                <w:szCs w:val="24"/>
                <w:lang w:val="uk-UA" w:eastAsia="ru-RU"/>
              </w:rPr>
              <w:t>220</w:t>
            </w:r>
            <w:bookmarkStart w:id="0" w:name="_GoBack"/>
            <w:bookmarkEnd w:id="0"/>
            <w:r>
              <w:rPr>
                <w:rFonts w:ascii="Times New Roman" w:hAnsi="Times New Roman"/>
                <w:b/>
                <w:sz w:val="24"/>
                <w:szCs w:val="24"/>
                <w:lang w:val="uk-UA" w:eastAsia="ru-RU"/>
              </w:rPr>
              <w:t xml:space="preserve"> Послуг</w:t>
            </w:r>
            <w:r w:rsidRPr="004A4F3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згідно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34581E"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31.12.2024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8"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w:t>
            </w:r>
            <w:r w:rsidRPr="00562304">
              <w:rPr>
                <w:rFonts w:ascii="Times New Roman" w:eastAsia="Times New Roman" w:hAnsi="Times New Roman"/>
                <w:color w:val="000000" w:themeColor="text1"/>
                <w:sz w:val="24"/>
                <w:szCs w:val="24"/>
              </w:rPr>
              <w:lastRenderedPageBreak/>
              <w:t>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C2EDD">
              <w:rPr>
                <w:rFonts w:ascii="Times New Roman" w:eastAsia="Times New Roman" w:hAnsi="Times New Roman"/>
                <w:b/>
                <w:sz w:val="24"/>
                <w:szCs w:val="24"/>
              </w:rPr>
              <w:lastRenderedPageBreak/>
              <w:t>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w:t>
            </w:r>
            <w:r>
              <w:rPr>
                <w:rFonts w:ascii="Times New Roman" w:eastAsia="Times New Roman" w:hAnsi="Times New Roman"/>
                <w:sz w:val="24"/>
                <w:szCs w:val="24"/>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Pr>
                <w:rFonts w:ascii="Times New Roman" w:eastAsia="Times New Roman" w:hAnsi="Times New Roman"/>
                <w:sz w:val="24"/>
                <w:szCs w:val="24"/>
              </w:rPr>
              <w:lastRenderedPageBreak/>
              <w:t>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1" w:name="_heading=h.3znysh7" w:colFirst="0" w:colLast="0"/>
            <w:bookmarkEnd w:id="1"/>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4D674B">
              <w:rPr>
                <w:rFonts w:ascii="Times New Roman" w:eastAsia="Times New Roman" w:hAnsi="Times New Roman"/>
                <w:b/>
                <w:color w:val="000000"/>
                <w:sz w:val="24"/>
                <w:szCs w:val="24"/>
              </w:rPr>
              <w:lastRenderedPageBreak/>
              <w:t xml:space="preserve">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Умови повернення чи неповернення забезпечення </w:t>
            </w:r>
            <w:r w:rsidRPr="00562304">
              <w:rPr>
                <w:rFonts w:ascii="Times New Roman" w:hAnsi="Times New Roman"/>
                <w:color w:val="000000" w:themeColor="text1"/>
                <w:sz w:val="24"/>
                <w:szCs w:val="24"/>
                <w:lang w:val="uk-UA" w:eastAsia="ru-RU"/>
              </w:rPr>
              <w:lastRenderedPageBreak/>
              <w:t>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фізичну особу, яка є учасником процедури закупівлі, було </w:t>
            </w:r>
            <w:r>
              <w:rPr>
                <w:rFonts w:ascii="Times New Roman" w:eastAsia="Times New Roman" w:hAnsi="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sz w:val="24"/>
                <w:szCs w:val="24"/>
              </w:rPr>
              <w:lastRenderedPageBreak/>
              <w:t xml:space="preserve">особою, до якої </w:t>
            </w:r>
            <w:r w:rsidRPr="004D674B">
              <w:rPr>
                <w:rFonts w:ascii="Times New Roman" w:eastAsia="Times New Roman" w:hAnsi="Times New Roman"/>
                <w:sz w:val="24"/>
                <w:szCs w:val="24"/>
              </w:rPr>
              <w:t xml:space="preserve">застосовано санкцію у вигляді заборони 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Інформація про технічні, якісні та кількісні характеристики предмета </w:t>
            </w:r>
            <w:r w:rsidRPr="00562304">
              <w:rPr>
                <w:rFonts w:ascii="Times New Roman" w:hAnsi="Times New Roman"/>
                <w:color w:val="000000" w:themeColor="text1"/>
                <w:sz w:val="24"/>
                <w:szCs w:val="24"/>
                <w:lang w:val="uk-UA" w:eastAsia="ru-RU"/>
              </w:rPr>
              <w:lastRenderedPageBreak/>
              <w:t>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lastRenderedPageBreak/>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0">
              <w:r>
                <w:rPr>
                  <w:rFonts w:ascii="Times New Roman" w:eastAsia="Times New Roman" w:hAnsi="Times New Roman"/>
                  <w:sz w:val="24"/>
                  <w:szCs w:val="24"/>
                </w:rPr>
                <w:t xml:space="preserve"> пунктом третім </w:t>
              </w:r>
            </w:hyperlink>
            <w:hyperlink r:id="rId11">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676356">
              <w:rPr>
                <w:rFonts w:ascii="Times New Roman" w:hAnsi="Times New Roman"/>
                <w:b/>
                <w:color w:val="000000" w:themeColor="text1"/>
                <w:lang w:val="uk-UA"/>
              </w:rPr>
              <w:t>29</w:t>
            </w:r>
            <w:r w:rsidRPr="00562304">
              <w:rPr>
                <w:rFonts w:ascii="Times New Roman" w:hAnsi="Times New Roman"/>
                <w:b/>
                <w:color w:val="000000" w:themeColor="text1"/>
              </w:rPr>
              <w:t xml:space="preserve">» </w:t>
            </w:r>
            <w:r w:rsidR="00796053">
              <w:rPr>
                <w:rFonts w:ascii="Times New Roman" w:hAnsi="Times New Roman"/>
                <w:b/>
                <w:color w:val="000000" w:themeColor="text1"/>
                <w:lang w:val="uk-UA"/>
              </w:rPr>
              <w:t>лютого</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Перелік критеріїв оцінки та методика оцінки тендерних пропозицій із зазначенням </w:t>
            </w:r>
            <w:r w:rsidRPr="00562304">
              <w:rPr>
                <w:rFonts w:ascii="Times New Roman" w:hAnsi="Times New Roman"/>
                <w:color w:val="000000" w:themeColor="text1"/>
                <w:sz w:val="24"/>
                <w:szCs w:val="24"/>
                <w:lang w:val="uk-UA" w:eastAsia="ru-RU"/>
              </w:rPr>
              <w:lastRenderedPageBreak/>
              <w:t>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w:t>
            </w:r>
            <w:r w:rsidRPr="00562304">
              <w:rPr>
                <w:rFonts w:ascii="Times New Roman" w:eastAsia="Times New Roman" w:hAnsi="Times New Roman"/>
                <w:color w:val="000000" w:themeColor="text1"/>
                <w:sz w:val="24"/>
                <w:szCs w:val="24"/>
                <w:highlight w:val="white"/>
              </w:rPr>
              <w:lastRenderedPageBreak/>
              <w:t>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562304">
              <w:rPr>
                <w:rFonts w:ascii="Times New Roman" w:eastAsia="Times New Roman" w:hAnsi="Times New Roman"/>
                <w:color w:val="000000" w:themeColor="text1"/>
                <w:sz w:val="24"/>
                <w:szCs w:val="24"/>
                <w:highlight w:val="white"/>
              </w:rPr>
              <w:lastRenderedPageBreak/>
              <w:t xml:space="preserve">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w:t>
            </w:r>
            <w:r>
              <w:rPr>
                <w:rFonts w:ascii="Times New Roman" w:eastAsia="Times New Roman" w:hAnsi="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w:t>
            </w:r>
            <w:r>
              <w:rPr>
                <w:rFonts w:ascii="Times New Roman" w:eastAsia="Times New Roman" w:hAnsi="Times New Roman"/>
                <w:sz w:val="24"/>
                <w:szCs w:val="24"/>
              </w:rPr>
              <w:lastRenderedPageBreak/>
              <w:t xml:space="preserve">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1ED" w:rsidRPr="002A11ED" w:rsidRDefault="00FD3679" w:rsidP="002A11ED">
            <w:pPr>
              <w:autoSpaceDE w:val="0"/>
              <w:autoSpaceDN w:val="0"/>
              <w:adjustRightInd w:val="0"/>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w:t>
            </w:r>
            <w:r w:rsidR="002A11ED">
              <w:rPr>
                <w:rFonts w:ascii="Times New Roman" w:eastAsia="Times New Roman" w:hAnsi="Times New Roman"/>
                <w:sz w:val="24"/>
                <w:szCs w:val="24"/>
                <w:highlight w:val="white"/>
                <w:lang w:val="uk-UA"/>
              </w:rPr>
              <w:t xml:space="preserve"> громадян</w:t>
            </w:r>
            <w:r>
              <w:rPr>
                <w:rFonts w:ascii="Times New Roman" w:eastAsia="Times New Roman" w:hAnsi="Times New Roman"/>
                <w:sz w:val="24"/>
                <w:szCs w:val="24"/>
                <w:highlight w:val="white"/>
              </w:rPr>
              <w:t xml:space="preserve">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 xml:space="preserve">відповідно до законодавства Російської </w:t>
            </w:r>
            <w:r w:rsidR="002A11ED" w:rsidRPr="002A11ED">
              <w:rPr>
                <w:rFonts w:ascii="Times New Roman" w:hAnsi="Times New Roman"/>
                <w:sz w:val="24"/>
                <w:szCs w:val="24"/>
                <w:lang w:val="uk-UA" w:eastAsia="uk-UA"/>
              </w:rPr>
              <w:lastRenderedPageBreak/>
              <w:t>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p>
          <w:p w:rsidR="00F2061C" w:rsidRPr="002A11ED" w:rsidRDefault="00F2061C" w:rsidP="002A11ED">
            <w:pPr>
              <w:autoSpaceDE w:val="0"/>
              <w:autoSpaceDN w:val="0"/>
              <w:adjustRightInd w:val="0"/>
              <w:spacing w:after="0" w:line="240" w:lineRule="auto"/>
              <w:jc w:val="both"/>
              <w:rPr>
                <w:rFonts w:ascii="Times New Roman" w:hAnsi="Times New Roman"/>
                <w:sz w:val="24"/>
                <w:szCs w:val="24"/>
                <w:lang w:val="uk-UA" w:eastAsia="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780000">
              <w:rPr>
                <w:rFonts w:ascii="Times New Roman" w:eastAsia="Times New Roman" w:hAnsi="Times New Roman"/>
                <w:color w:val="000000" w:themeColor="text1"/>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w:t>
            </w:r>
            <w:r w:rsidRPr="00780000">
              <w:rPr>
                <w:rFonts w:ascii="Times New Roman" w:eastAsia="Times New Roman" w:hAnsi="Times New Roman"/>
                <w:color w:val="000000" w:themeColor="text1"/>
                <w:sz w:val="24"/>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1ED" w:rsidRPr="002A11ED" w:rsidRDefault="00823A9B" w:rsidP="002A11ED">
            <w:pPr>
              <w:autoSpaceDE w:val="0"/>
              <w:autoSpaceDN w:val="0"/>
              <w:adjustRightInd w:val="0"/>
              <w:spacing w:after="0" w:line="240" w:lineRule="auto"/>
              <w:jc w:val="both"/>
              <w:rPr>
                <w:rFonts w:ascii="Times New Roman" w:hAnsi="Times New Roman"/>
                <w:sz w:val="24"/>
                <w:szCs w:val="24"/>
                <w:lang w:val="uk-UA" w:eastAsia="uk-UA"/>
              </w:rPr>
            </w:pPr>
            <w:r w:rsidRPr="00562304">
              <w:rPr>
                <w:rFonts w:ascii="Times New Roman" w:eastAsia="Times New Roman" w:hAnsi="Times New Roman"/>
                <w:color w:val="000000" w:themeColor="text1"/>
                <w:sz w:val="24"/>
                <w:szCs w:val="24"/>
                <w:highlight w:val="white"/>
              </w:rPr>
              <w:t xml:space="preserve">є громадянином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w:t>
            </w:r>
            <w:proofErr w:type="gramStart"/>
            <w:r w:rsidR="002A11ED" w:rsidRPr="002A11ED">
              <w:rPr>
                <w:rFonts w:ascii="Times New Roman" w:hAnsi="Times New Roman"/>
                <w:sz w:val="24"/>
                <w:szCs w:val="24"/>
                <w:lang w:val="uk-UA" w:eastAsia="uk-UA"/>
              </w:rPr>
              <w:t xml:space="preserve"> Р</w:t>
            </w:r>
            <w:proofErr w:type="gramEnd"/>
            <w:r w:rsidR="002A11ED" w:rsidRPr="002A11ED">
              <w:rPr>
                <w:rFonts w:ascii="Times New Roman" w:hAnsi="Times New Roman"/>
                <w:sz w:val="24"/>
                <w:szCs w:val="24"/>
                <w:lang w:val="uk-UA" w:eastAsia="uk-UA"/>
              </w:rPr>
              <w:t xml:space="preserve">осійської </w:t>
            </w:r>
            <w:r w:rsidR="002A11ED" w:rsidRPr="002A11ED">
              <w:rPr>
                <w:rFonts w:ascii="Times New Roman" w:hAnsi="Times New Roman"/>
                <w:sz w:val="24"/>
                <w:szCs w:val="24"/>
                <w:lang w:val="uk-UA" w:eastAsia="uk-UA"/>
              </w:rPr>
              <w:lastRenderedPageBreak/>
              <w:t>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823A9B"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r w:rsidR="00823A9B" w:rsidRPr="00562304">
              <w:rPr>
                <w:rFonts w:ascii="Times New Roman" w:eastAsia="Times New Roman" w:hAnsi="Times New Roman"/>
                <w:color w:val="000000" w:themeColor="text1"/>
                <w:sz w:val="24"/>
                <w:szCs w:val="24"/>
                <w:highlight w:val="white"/>
              </w:rPr>
              <w:t xml:space="preserve">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w:t>
            </w:r>
            <w:r w:rsidRPr="00562304">
              <w:rPr>
                <w:rFonts w:ascii="Times New Roman" w:eastAsia="Times New Roman" w:hAnsi="Times New Roman"/>
                <w:color w:val="000000" w:themeColor="text1"/>
                <w:sz w:val="24"/>
                <w:szCs w:val="24"/>
                <w:highlight w:val="white"/>
              </w:rPr>
              <w:lastRenderedPageBreak/>
              <w:t>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562304">
              <w:rPr>
                <w:rFonts w:ascii="Times New Roman" w:hAnsi="Times New Roman"/>
                <w:color w:val="000000" w:themeColor="text1"/>
                <w:sz w:val="24"/>
                <w:szCs w:val="24"/>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Дії замовника при відмові переможця процедури закупівлі від підписання </w:t>
            </w:r>
            <w:r w:rsidRPr="00562304">
              <w:rPr>
                <w:rFonts w:ascii="Times New Roman" w:hAnsi="Times New Roman"/>
                <w:color w:val="000000" w:themeColor="text1"/>
                <w:sz w:val="24"/>
                <w:szCs w:val="24"/>
                <w:lang w:val="uk-UA" w:eastAsia="ru-RU"/>
              </w:rPr>
              <w:lastRenderedPageBreak/>
              <w:t>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lastRenderedPageBreak/>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562304">
              <w:rPr>
                <w:rFonts w:ascii="Times New Roman" w:eastAsia="Times New Roman" w:hAnsi="Times New Roman"/>
                <w:color w:val="000000" w:themeColor="text1"/>
                <w:sz w:val="24"/>
                <w:szCs w:val="24"/>
                <w:highlight w:val="white"/>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AF3FCF">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2A11ED">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3733C2" w:rsidRPr="005539F6" w:rsidRDefault="003733C2" w:rsidP="003733C2">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що підтверджують його</w:t>
            </w:r>
            <w:r w:rsidR="00676356">
              <w:rPr>
                <w:rFonts w:ascii="Times New Roman" w:hAnsi="Times New Roman"/>
                <w:lang w:val="uk-UA"/>
              </w:rPr>
              <w:t xml:space="preserve"> повне </w:t>
            </w:r>
            <w:r>
              <w:rPr>
                <w:rFonts w:ascii="Times New Roman" w:hAnsi="Times New Roman"/>
                <w:lang w:val="uk-UA"/>
              </w:rPr>
              <w:t xml:space="preserve">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p w:rsidR="00AF3FCF" w:rsidRPr="006557D0" w:rsidRDefault="00AF3FCF" w:rsidP="002A11ED">
            <w:pPr>
              <w:spacing w:after="0" w:line="240" w:lineRule="auto"/>
              <w:jc w:val="both"/>
              <w:rPr>
                <w:rFonts w:ascii="Times New Roman" w:hAnsi="Times New Roman"/>
                <w:b/>
                <w:bCs/>
                <w:lang w:val="uk-UA"/>
              </w:rPr>
            </w:pP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562304" w:rsidRPr="00562304" w:rsidTr="00E3139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w:t>
            </w:r>
            <w:r w:rsidRPr="00562304">
              <w:rPr>
                <w:rFonts w:ascii="Times New Roman" w:hAnsi="Times New Roman"/>
                <w:color w:val="000000" w:themeColor="text1"/>
              </w:rPr>
              <w:lastRenderedPageBreak/>
              <w:t>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E3139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t xml:space="preserve">Інформація про необхідні технічні, якісні та кількісні характеристики предмета закупівлі </w:t>
            </w:r>
          </w:p>
        </w:tc>
        <w:tc>
          <w:tcPr>
            <w:tcW w:w="7229"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A1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A11ED">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A1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A11ED">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A11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b/>
                <w:sz w:val="20"/>
                <w:szCs w:val="20"/>
              </w:rPr>
            </w:pPr>
          </w:p>
        </w:tc>
      </w:tr>
      <w:tr w:rsidR="00420606" w:rsidRPr="00420606" w:rsidTr="002A1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A11ED">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A1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A11ED">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A1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A11ED">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A1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sz w:val="20"/>
                <w:szCs w:val="20"/>
              </w:rPr>
            </w:pPr>
          </w:p>
        </w:tc>
      </w:tr>
      <w:tr w:rsidR="00420606" w:rsidTr="002A11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E2719" w:rsidRPr="00676356" w:rsidRDefault="00676356" w:rsidP="00676356">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w:t>
      </w:r>
    </w:p>
    <w:p w:rsidR="00B01163" w:rsidRPr="00676356" w:rsidRDefault="003F5CBD" w:rsidP="00676356">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w:t>
      </w:r>
      <w:r w:rsidR="00676356">
        <w:rPr>
          <w:rFonts w:ascii="Times New Roman" w:eastAsia="Times New Roman" w:hAnsi="Times New Roman"/>
          <w:color w:val="000000" w:themeColor="text1"/>
          <w:sz w:val="24"/>
          <w:szCs w:val="24"/>
        </w:rPr>
        <w:t xml:space="preserve"> вимогами пункту 47 Особливосте</w:t>
      </w:r>
      <w:r w:rsidR="00676356">
        <w:rPr>
          <w:rFonts w:ascii="Times New Roman" w:eastAsia="Times New Roman" w:hAnsi="Times New Roman"/>
          <w:color w:val="000000" w:themeColor="text1"/>
          <w:sz w:val="24"/>
          <w:szCs w:val="24"/>
          <w:lang w:val="uk-UA"/>
        </w:rPr>
        <w:t>й.</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76356">
        <w:rPr>
          <w:rFonts w:ascii="Times New Roman" w:hAnsi="Times New Roman"/>
          <w:b/>
          <w:bCs/>
          <w:i/>
          <w:iCs/>
          <w:color w:val="000000" w:themeColor="text1"/>
          <w:sz w:val="20"/>
          <w:szCs w:val="20"/>
          <w:lang w:val="uk-UA"/>
        </w:rPr>
        <w:t xml:space="preserve"> </w:t>
      </w: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676356">
      <w:pPr>
        <w:spacing w:after="0" w:line="240" w:lineRule="auto"/>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spacing w:after="0" w:line="240" w:lineRule="auto"/>
        <w:contextualSpacing/>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B4318"/>
    <w:rsid w:val="000C459B"/>
    <w:rsid w:val="000D395A"/>
    <w:rsid w:val="000D7B16"/>
    <w:rsid w:val="000F3424"/>
    <w:rsid w:val="00105394"/>
    <w:rsid w:val="001073A9"/>
    <w:rsid w:val="00107952"/>
    <w:rsid w:val="001105C5"/>
    <w:rsid w:val="00137455"/>
    <w:rsid w:val="00164776"/>
    <w:rsid w:val="001C7DBD"/>
    <w:rsid w:val="00203466"/>
    <w:rsid w:val="00214656"/>
    <w:rsid w:val="002171DF"/>
    <w:rsid w:val="00244F88"/>
    <w:rsid w:val="00250815"/>
    <w:rsid w:val="00252FEE"/>
    <w:rsid w:val="00262241"/>
    <w:rsid w:val="002626D5"/>
    <w:rsid w:val="002752BC"/>
    <w:rsid w:val="002768B6"/>
    <w:rsid w:val="002A11ED"/>
    <w:rsid w:val="00305604"/>
    <w:rsid w:val="00317E28"/>
    <w:rsid w:val="0034581E"/>
    <w:rsid w:val="003733C2"/>
    <w:rsid w:val="00384CA4"/>
    <w:rsid w:val="003A01EB"/>
    <w:rsid w:val="003B5FEC"/>
    <w:rsid w:val="003F09AB"/>
    <w:rsid w:val="003F5CBD"/>
    <w:rsid w:val="003F640A"/>
    <w:rsid w:val="004041EC"/>
    <w:rsid w:val="00416EAD"/>
    <w:rsid w:val="0041705F"/>
    <w:rsid w:val="00420606"/>
    <w:rsid w:val="00427DE2"/>
    <w:rsid w:val="004411EC"/>
    <w:rsid w:val="004411EF"/>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76356"/>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75F6"/>
    <w:rsid w:val="009E25D1"/>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E7419"/>
    <w:rsid w:val="00CE7D1C"/>
    <w:rsid w:val="00CF103F"/>
    <w:rsid w:val="00D0542B"/>
    <w:rsid w:val="00D15244"/>
    <w:rsid w:val="00D15F4A"/>
    <w:rsid w:val="00D27A01"/>
    <w:rsid w:val="00D35FAC"/>
    <w:rsid w:val="00D452FE"/>
    <w:rsid w:val="00D83CCC"/>
    <w:rsid w:val="00D87F98"/>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zahrai@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41721</Words>
  <Characters>23781</Characters>
  <Application>Microsoft Office Word</Application>
  <DocSecurity>0</DocSecurity>
  <Lines>198</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2</cp:revision>
  <dcterms:created xsi:type="dcterms:W3CDTF">2024-02-21T14:06:00Z</dcterms:created>
  <dcterms:modified xsi:type="dcterms:W3CDTF">2024-02-21T14:06:00Z</dcterms:modified>
</cp:coreProperties>
</file>