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A8A3154"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E0453A" w:rsidRPr="00E0453A">
        <w:rPr>
          <w:b/>
          <w:sz w:val="24"/>
          <w:szCs w:val="24"/>
        </w:rPr>
        <w:t>44220000-8</w:t>
      </w:r>
      <w:r w:rsidR="00E0453A">
        <w:rPr>
          <w:b/>
          <w:sz w:val="24"/>
          <w:szCs w:val="24"/>
        </w:rPr>
        <w:t xml:space="preserve"> </w:t>
      </w:r>
      <w:r w:rsidR="00E0453A" w:rsidRPr="00E0453A">
        <w:rPr>
          <w:b/>
          <w:sz w:val="24"/>
          <w:szCs w:val="24"/>
        </w:rPr>
        <w:t>Столярні вироби</w:t>
      </w:r>
    </w:p>
    <w:tbl>
      <w:tblPr>
        <w:tblStyle w:val="af0"/>
        <w:tblW w:w="0" w:type="auto"/>
        <w:tblLook w:val="04A0" w:firstRow="1" w:lastRow="0" w:firstColumn="1" w:lastColumn="0" w:noHBand="0" w:noVBand="1"/>
      </w:tblPr>
      <w:tblGrid>
        <w:gridCol w:w="6941"/>
        <w:gridCol w:w="3113"/>
      </w:tblGrid>
      <w:tr w:rsidR="00E0453A" w14:paraId="340F31C7" w14:textId="77777777" w:rsidTr="00902526">
        <w:tc>
          <w:tcPr>
            <w:tcW w:w="6941" w:type="dxa"/>
          </w:tcPr>
          <w:p w14:paraId="1CA40B1A" w14:textId="21894685" w:rsidR="00E0453A" w:rsidRPr="00E0453A" w:rsidRDefault="00E0453A" w:rsidP="00E0453A">
            <w:pPr>
              <w:jc w:val="both"/>
              <w:rPr>
                <w:bCs/>
                <w:sz w:val="24"/>
                <w:szCs w:val="24"/>
              </w:rPr>
            </w:pPr>
            <w:r w:rsidRPr="00E0453A">
              <w:rPr>
                <w:sz w:val="24"/>
                <w:szCs w:val="24"/>
              </w:rPr>
              <w:t>Перегородка металопластикова 210х1950мм</w:t>
            </w:r>
          </w:p>
        </w:tc>
        <w:tc>
          <w:tcPr>
            <w:tcW w:w="3113" w:type="dxa"/>
          </w:tcPr>
          <w:p w14:paraId="5C4A93A6" w14:textId="7AAED1BF" w:rsidR="00E0453A" w:rsidRPr="00840E19" w:rsidRDefault="00E0453A" w:rsidP="00E0453A">
            <w:pPr>
              <w:jc w:val="both"/>
              <w:rPr>
                <w:b/>
                <w:sz w:val="24"/>
                <w:szCs w:val="24"/>
              </w:rPr>
            </w:pPr>
            <w:r>
              <w:rPr>
                <w:b/>
                <w:sz w:val="24"/>
                <w:szCs w:val="24"/>
              </w:rPr>
              <w:t>4 шт</w:t>
            </w:r>
          </w:p>
        </w:tc>
      </w:tr>
      <w:tr w:rsidR="00E0453A" w14:paraId="7D937061" w14:textId="77777777" w:rsidTr="00902526">
        <w:tc>
          <w:tcPr>
            <w:tcW w:w="6941" w:type="dxa"/>
          </w:tcPr>
          <w:p w14:paraId="671AC3F2" w14:textId="2A631018" w:rsidR="00E0453A" w:rsidRPr="00E0453A" w:rsidRDefault="00E0453A" w:rsidP="00E0453A">
            <w:pPr>
              <w:jc w:val="both"/>
              <w:rPr>
                <w:b/>
                <w:bCs/>
                <w:sz w:val="24"/>
                <w:szCs w:val="24"/>
              </w:rPr>
            </w:pPr>
            <w:r w:rsidRPr="00E0453A">
              <w:rPr>
                <w:sz w:val="24"/>
                <w:szCs w:val="24"/>
              </w:rPr>
              <w:t>Двері металопластикові 800х1950</w:t>
            </w:r>
          </w:p>
        </w:tc>
        <w:tc>
          <w:tcPr>
            <w:tcW w:w="3113" w:type="dxa"/>
          </w:tcPr>
          <w:p w14:paraId="08DC1161" w14:textId="07DE2C01" w:rsidR="00E0453A" w:rsidRDefault="00E0453A" w:rsidP="00E0453A">
            <w:pPr>
              <w:jc w:val="both"/>
              <w:rPr>
                <w:b/>
                <w:sz w:val="24"/>
                <w:szCs w:val="24"/>
              </w:rPr>
            </w:pPr>
            <w:r>
              <w:rPr>
                <w:b/>
                <w:sz w:val="24"/>
                <w:szCs w:val="24"/>
              </w:rPr>
              <w:t>3 шт</w:t>
            </w:r>
          </w:p>
        </w:tc>
      </w:tr>
      <w:tr w:rsidR="00E0453A" w14:paraId="0D26C691" w14:textId="77777777" w:rsidTr="00902526">
        <w:tc>
          <w:tcPr>
            <w:tcW w:w="6941" w:type="dxa"/>
          </w:tcPr>
          <w:p w14:paraId="5D23EE15" w14:textId="356D2FE7" w:rsidR="00E0453A" w:rsidRPr="00E0453A" w:rsidRDefault="00E0453A" w:rsidP="00E0453A">
            <w:pPr>
              <w:jc w:val="both"/>
              <w:rPr>
                <w:b/>
                <w:bCs/>
                <w:sz w:val="24"/>
                <w:szCs w:val="24"/>
              </w:rPr>
            </w:pPr>
            <w:r w:rsidRPr="00E0453A">
              <w:rPr>
                <w:sz w:val="24"/>
                <w:szCs w:val="24"/>
              </w:rPr>
              <w:t>Перегородка металопластикова 960х1950</w:t>
            </w:r>
          </w:p>
        </w:tc>
        <w:tc>
          <w:tcPr>
            <w:tcW w:w="3113" w:type="dxa"/>
          </w:tcPr>
          <w:p w14:paraId="46718C79" w14:textId="2E2290A9" w:rsidR="00E0453A" w:rsidRDefault="00E0453A" w:rsidP="00E0453A">
            <w:pPr>
              <w:jc w:val="both"/>
              <w:rPr>
                <w:b/>
                <w:sz w:val="24"/>
                <w:szCs w:val="24"/>
              </w:rPr>
            </w:pPr>
            <w:r>
              <w:rPr>
                <w:b/>
                <w:sz w:val="24"/>
                <w:szCs w:val="24"/>
              </w:rPr>
              <w:t>1 шт</w:t>
            </w:r>
          </w:p>
        </w:tc>
      </w:tr>
      <w:tr w:rsidR="00E0453A" w14:paraId="48189356" w14:textId="77777777" w:rsidTr="00902526">
        <w:tc>
          <w:tcPr>
            <w:tcW w:w="6941" w:type="dxa"/>
          </w:tcPr>
          <w:p w14:paraId="237A2872" w14:textId="38D379D3" w:rsidR="00E0453A" w:rsidRPr="00E0453A" w:rsidRDefault="00E0453A" w:rsidP="00E0453A">
            <w:pPr>
              <w:jc w:val="both"/>
              <w:rPr>
                <w:b/>
                <w:bCs/>
                <w:sz w:val="24"/>
                <w:szCs w:val="24"/>
              </w:rPr>
            </w:pPr>
            <w:r w:rsidRPr="00E0453A">
              <w:rPr>
                <w:sz w:val="24"/>
                <w:szCs w:val="24"/>
              </w:rPr>
              <w:t>Перегородка металопластикова 1110х1950</w:t>
            </w:r>
          </w:p>
        </w:tc>
        <w:tc>
          <w:tcPr>
            <w:tcW w:w="3113" w:type="dxa"/>
          </w:tcPr>
          <w:p w14:paraId="206E7203" w14:textId="77B2779D" w:rsidR="00E0453A" w:rsidRDefault="00E0453A" w:rsidP="00E0453A">
            <w:pPr>
              <w:jc w:val="both"/>
              <w:rPr>
                <w:b/>
                <w:sz w:val="24"/>
                <w:szCs w:val="24"/>
              </w:rPr>
            </w:pPr>
            <w:r>
              <w:rPr>
                <w:b/>
                <w:sz w:val="24"/>
                <w:szCs w:val="24"/>
              </w:rPr>
              <w:t>2 шт</w:t>
            </w:r>
          </w:p>
        </w:tc>
      </w:tr>
    </w:tbl>
    <w:p w14:paraId="71035DE6" w14:textId="302CBFF0"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266133" w:rsidRPr="00131DC8">
        <w:rPr>
          <w:b/>
          <w:sz w:val="24"/>
          <w:szCs w:val="24"/>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4E71C5F"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D4DF2">
        <w:rPr>
          <w:b/>
          <w:bCs/>
          <w:sz w:val="24"/>
          <w:szCs w:val="24"/>
        </w:rPr>
        <w:t>43200,70</w:t>
      </w:r>
      <w:r w:rsidRPr="00F3276E">
        <w:rPr>
          <w:b/>
          <w:bCs/>
          <w:sz w:val="24"/>
          <w:szCs w:val="24"/>
        </w:rPr>
        <w:t xml:space="preserve"> грн. (</w:t>
      </w:r>
      <w:r w:rsidR="005D4DF2">
        <w:rPr>
          <w:b/>
          <w:bCs/>
          <w:sz w:val="24"/>
          <w:szCs w:val="24"/>
        </w:rPr>
        <w:t>сорок три</w:t>
      </w:r>
      <w:r w:rsidR="00386F38" w:rsidRPr="00F3276E">
        <w:rPr>
          <w:b/>
          <w:bCs/>
          <w:sz w:val="24"/>
          <w:szCs w:val="24"/>
        </w:rPr>
        <w:t xml:space="preserve"> </w:t>
      </w:r>
      <w:r w:rsidR="00F3276E" w:rsidRPr="00F3276E">
        <w:rPr>
          <w:b/>
          <w:bCs/>
          <w:sz w:val="24"/>
          <w:szCs w:val="24"/>
        </w:rPr>
        <w:t>тисяч</w:t>
      </w:r>
      <w:r w:rsidR="005D4DF2">
        <w:rPr>
          <w:b/>
          <w:bCs/>
          <w:sz w:val="24"/>
          <w:szCs w:val="24"/>
        </w:rPr>
        <w:t>і двісті</w:t>
      </w:r>
      <w:r w:rsidR="00464496">
        <w:rPr>
          <w:b/>
          <w:bCs/>
          <w:sz w:val="24"/>
          <w:szCs w:val="24"/>
        </w:rPr>
        <w:t xml:space="preserve"> </w:t>
      </w:r>
      <w:r w:rsidR="00386F38" w:rsidRPr="00F3276E">
        <w:rPr>
          <w:b/>
          <w:bCs/>
          <w:sz w:val="24"/>
          <w:szCs w:val="24"/>
        </w:rPr>
        <w:t xml:space="preserve">грн. </w:t>
      </w:r>
      <w:r w:rsidR="00840E19">
        <w:rPr>
          <w:b/>
          <w:bCs/>
          <w:sz w:val="24"/>
          <w:szCs w:val="24"/>
        </w:rPr>
        <w:t xml:space="preserve">                      </w:t>
      </w:r>
      <w:r w:rsidR="005D4DF2">
        <w:rPr>
          <w:b/>
          <w:bCs/>
          <w:sz w:val="24"/>
          <w:szCs w:val="24"/>
        </w:rPr>
        <w:t>7</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2FBD1EC"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E730F4">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3F6632D6"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461FEA">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8E03B9F"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D4DF2">
        <w:rPr>
          <w:sz w:val="24"/>
          <w:szCs w:val="24"/>
        </w:rPr>
        <w:t>216</w:t>
      </w:r>
      <w:r w:rsidRPr="00A26002">
        <w:rPr>
          <w:sz w:val="24"/>
          <w:szCs w:val="24"/>
        </w:rPr>
        <w:t xml:space="preserve"> (</w:t>
      </w:r>
      <w:r w:rsidR="005D4DF2">
        <w:rPr>
          <w:sz w:val="24"/>
          <w:szCs w:val="24"/>
        </w:rPr>
        <w:t>двісті шістнадцять</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14EC" w14:textId="77777777" w:rsidR="00F12B35" w:rsidRDefault="00F12B35">
      <w:r>
        <w:separator/>
      </w:r>
    </w:p>
  </w:endnote>
  <w:endnote w:type="continuationSeparator" w:id="0">
    <w:p w14:paraId="58F8014B" w14:textId="77777777" w:rsidR="00F12B35" w:rsidRDefault="00F1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79D2" w14:textId="77777777" w:rsidR="00F12B35" w:rsidRDefault="00F12B35">
      <w:r>
        <w:separator/>
      </w:r>
    </w:p>
  </w:footnote>
  <w:footnote w:type="continuationSeparator" w:id="0">
    <w:p w14:paraId="13A0549D" w14:textId="77777777" w:rsidR="00F12B35" w:rsidRDefault="00F1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1FEA"/>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B4754"/>
    <w:rsid w:val="005D36DE"/>
    <w:rsid w:val="005D4DF2"/>
    <w:rsid w:val="0061384C"/>
    <w:rsid w:val="00630532"/>
    <w:rsid w:val="006347F2"/>
    <w:rsid w:val="00650B5B"/>
    <w:rsid w:val="00673EDF"/>
    <w:rsid w:val="00680AF2"/>
    <w:rsid w:val="006971A6"/>
    <w:rsid w:val="006A0164"/>
    <w:rsid w:val="006F5B5F"/>
    <w:rsid w:val="00701CE5"/>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66948"/>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30F4"/>
    <w:rsid w:val="00E740D2"/>
    <w:rsid w:val="00E74C3F"/>
    <w:rsid w:val="00E9238D"/>
    <w:rsid w:val="00E96CA5"/>
    <w:rsid w:val="00E972CC"/>
    <w:rsid w:val="00ED1A56"/>
    <w:rsid w:val="00EE17EF"/>
    <w:rsid w:val="00EE7B51"/>
    <w:rsid w:val="00F01B48"/>
    <w:rsid w:val="00F02BA7"/>
    <w:rsid w:val="00F07C54"/>
    <w:rsid w:val="00F1119B"/>
    <w:rsid w:val="00F12B35"/>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8040</Words>
  <Characters>4584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206</cp:revision>
  <cp:lastPrinted>2023-08-25T07:57:00Z</cp:lastPrinted>
  <dcterms:created xsi:type="dcterms:W3CDTF">2023-08-28T09:34:00Z</dcterms:created>
  <dcterms:modified xsi:type="dcterms:W3CDTF">2024-03-18T08:07:00Z</dcterms:modified>
</cp:coreProperties>
</file>