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14:paraId="0C2468CB" w14:textId="160A309D"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F55EC">
        <w:rPr>
          <w:rFonts w:ascii="Times New Roman" w:hAnsi="Times New Roman" w:cs="Times New Roman"/>
          <w:b/>
          <w:sz w:val="24"/>
          <w:szCs w:val="24"/>
        </w:rPr>
        <w:t>21</w:t>
      </w:r>
      <w:r w:rsidR="00DE28C3">
        <w:rPr>
          <w:rFonts w:ascii="Times New Roman" w:hAnsi="Times New Roman" w:cs="Times New Roman"/>
          <w:b/>
          <w:sz w:val="24"/>
          <w:szCs w:val="24"/>
        </w:rPr>
        <w:t>.02.2024</w:t>
      </w:r>
      <w:r w:rsidRPr="000011C3">
        <w:rPr>
          <w:rFonts w:ascii="Times New Roman" w:hAnsi="Times New Roman" w:cs="Times New Roman"/>
          <w:b/>
          <w:sz w:val="24"/>
          <w:szCs w:val="24"/>
        </w:rPr>
        <w:t xml:space="preserve"> року № </w:t>
      </w:r>
      <w:r w:rsidR="00DF55EC">
        <w:rPr>
          <w:rFonts w:ascii="Times New Roman" w:hAnsi="Times New Roman" w:cs="Times New Roman"/>
          <w:b/>
          <w:bCs/>
          <w:color w:val="000000"/>
          <w:sz w:val="24"/>
          <w:szCs w:val="24"/>
        </w:rPr>
        <w:t>71</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5BB2C2CD" w14:textId="77777777" w:rsidR="00A236F9" w:rsidRDefault="00A236F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A236F9">
        <w:rPr>
          <w:rFonts w:ascii="Times New Roman" w:eastAsia="Times New Roman" w:hAnsi="Times New Roman" w:cs="Times New Roman"/>
          <w:b/>
          <w:sz w:val="24"/>
          <w:szCs w:val="24"/>
        </w:rPr>
        <w:t xml:space="preserve">Поліетиленові труби для водопостачання ПЕ-100 </w:t>
      </w:r>
    </w:p>
    <w:p w14:paraId="758A4D37" w14:textId="73E809FC"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0" w:name="_heading=h.1fob9te" w:colFirst="0" w:colLast="0"/>
      <w:bookmarkEnd w:id="0"/>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630922BF" w:rsidR="00294A76" w:rsidRDefault="00A236F9"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Лубни – 2024</w:t>
      </w:r>
      <w:r w:rsidR="00294A76" w:rsidRPr="000011C3">
        <w:rPr>
          <w:rFonts w:ascii="Times New Roman" w:eastAsia="Times New Roman" w:hAnsi="Times New Roman" w:cs="Times New Roman"/>
          <w:b/>
          <w:sz w:val="24"/>
          <w:szCs w:val="24"/>
        </w:rPr>
        <w:t xml:space="preserve">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10"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6744261" w14:textId="77777777" w:rsidR="00A236F9" w:rsidRDefault="00A236F9" w:rsidP="00264859">
            <w:pPr>
              <w:jc w:val="both"/>
              <w:rPr>
                <w:rFonts w:ascii="Times New Roman" w:eastAsia="Times New Roman" w:hAnsi="Times New Roman" w:cs="Times New Roman"/>
                <w:b/>
                <w:i/>
                <w:color w:val="000000" w:themeColor="text1"/>
              </w:rPr>
            </w:pPr>
            <w:r w:rsidRPr="00A236F9">
              <w:rPr>
                <w:rFonts w:ascii="Times New Roman" w:eastAsia="Times New Roman" w:hAnsi="Times New Roman" w:cs="Times New Roman"/>
                <w:b/>
                <w:i/>
                <w:color w:val="000000" w:themeColor="text1"/>
              </w:rPr>
              <w:t xml:space="preserve">Поліетиленові труби для водопостачання ПЕ-100 </w:t>
            </w:r>
          </w:p>
          <w:p w14:paraId="503032A0" w14:textId="452372CE"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1A4339E3" w14:textId="77777777" w:rsidR="00A236F9"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w:t>
            </w:r>
          </w:p>
          <w:p w14:paraId="34130505" w14:textId="7737B827" w:rsidR="00A77AB8" w:rsidRPr="00503A9C" w:rsidRDefault="00A236F9">
            <w:pPr>
              <w:widowControl w:val="0"/>
              <w:ind w:right="120"/>
              <w:jc w:val="both"/>
              <w:rPr>
                <w:rFonts w:ascii="Times New Roman" w:eastAsia="Times New Roman" w:hAnsi="Times New Roman" w:cs="Times New Roman"/>
                <w:i/>
                <w:color w:val="000000" w:themeColor="text1"/>
              </w:rPr>
            </w:pPr>
            <w:r w:rsidRPr="00A236F9">
              <w:rPr>
                <w:rFonts w:ascii="Times New Roman" w:eastAsia="Times New Roman" w:hAnsi="Times New Roman" w:cs="Times New Roman"/>
                <w:color w:val="000000" w:themeColor="text1"/>
              </w:rPr>
              <w:t>Поліетиленові труби для водопостачання ПЕ-100</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9 148</w:t>
            </w:r>
            <w:r>
              <w:rPr>
                <w:rFonts w:ascii="Times New Roman" w:eastAsia="Times New Roman" w:hAnsi="Times New Roman" w:cs="Times New Roman"/>
                <w:color w:val="000000" w:themeColor="text1"/>
              </w:rPr>
              <w:t xml:space="preserve"> м/</w:t>
            </w:r>
            <w:proofErr w:type="spellStart"/>
            <w:r>
              <w:rPr>
                <w:rFonts w:ascii="Times New Roman" w:eastAsia="Times New Roman" w:hAnsi="Times New Roman" w:cs="Times New Roman"/>
                <w:color w:val="000000" w:themeColor="text1"/>
              </w:rPr>
              <w:t>пог</w:t>
            </w:r>
            <w:proofErr w:type="spellEnd"/>
            <w:r>
              <w:rPr>
                <w:rFonts w:ascii="Times New Roman" w:eastAsia="Times New Roman" w:hAnsi="Times New Roman" w:cs="Times New Roman"/>
                <w:color w:val="000000" w:themeColor="text1"/>
              </w:rPr>
              <w:t xml:space="preserve"> (згідно Додатку № 2 до Тендерної документації)</w:t>
            </w:r>
          </w:p>
          <w:p w14:paraId="2FA09DCA" w14:textId="77777777" w:rsidR="00B507A7"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 xml:space="preserve">м. Лубни, Полтавська обл., </w:t>
            </w:r>
          </w:p>
          <w:p w14:paraId="3B6A2101" w14:textId="3FD21E55" w:rsidR="00A77AB8" w:rsidRPr="00066F35" w:rsidRDefault="00066F35" w:rsidP="00066F35">
            <w:pPr>
              <w:pStyle w:val="af6"/>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3FC192F7"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EC3080">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rsidTr="00DE28C3">
        <w:trPr>
          <w:trHeight w:val="416"/>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80F54">
              <w:rPr>
                <w:rFonts w:ascii="Times New Roman" w:eastAsia="Times New Roman" w:hAnsi="Times New Roman" w:cs="Times New Roman"/>
                <w:color w:val="000000" w:themeColor="text1"/>
              </w:rPr>
              <w:lastRenderedPageBreak/>
              <w:t>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Документи, що не передбачені законодавством для учасників — </w:t>
            </w:r>
            <w:r w:rsidRPr="00580F54">
              <w:rPr>
                <w:rFonts w:ascii="Times New Roman" w:eastAsia="Times New Roman" w:hAnsi="Times New Roman" w:cs="Times New Roman"/>
                <w:color w:val="000000" w:themeColor="text1"/>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1" w:name="_heading=h.3znysh7" w:colFirst="0" w:colLast="0"/>
            <w:bookmarkEnd w:id="1"/>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2" w:name="_heading=h.2et92p0" w:colFirst="0" w:colLast="0"/>
            <w:bookmarkEnd w:id="2"/>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hjqm8skarbdr" w:colFirst="0" w:colLast="0"/>
            <w:bookmarkEnd w:id="3"/>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w:t>
            </w:r>
            <w:r w:rsidRPr="00580F54">
              <w:rPr>
                <w:rFonts w:ascii="Times New Roman" w:eastAsia="Times New Roman" w:hAnsi="Times New Roman" w:cs="Times New Roman"/>
                <w:color w:val="000000" w:themeColor="text1"/>
              </w:rPr>
              <w:lastRenderedPageBreak/>
              <w:t xml:space="preserve">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4" w:name="_heading=h.ftj7vaqoric" w:colFirst="0" w:colLast="0"/>
            <w:bookmarkEnd w:id="4"/>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5" w:name="_heading=h.tyjcwt" w:colFirst="0" w:colLast="0"/>
            <w:bookmarkEnd w:id="5"/>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w:t>
            </w:r>
            <w:r w:rsidRPr="00580F54">
              <w:rPr>
                <w:rFonts w:ascii="Times New Roman" w:eastAsia="Times New Roman" w:hAnsi="Times New Roman" w:cs="Times New Roman"/>
                <w:color w:val="000000" w:themeColor="text1"/>
              </w:rPr>
              <w:lastRenderedPageBreak/>
              <w:t xml:space="preserve">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80F54">
              <w:rPr>
                <w:rFonts w:ascii="Times New Roman" w:eastAsia="Times New Roman" w:hAnsi="Times New Roman" w:cs="Times New Roman"/>
                <w:color w:val="000000" w:themeColor="text1"/>
                <w:highlight w:val="white"/>
              </w:rPr>
              <w:lastRenderedPageBreak/>
              <w:t>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5">
              <w:r w:rsidRPr="00580F54">
                <w:rPr>
                  <w:rFonts w:ascii="Times New Roman" w:eastAsia="Times New Roman" w:hAnsi="Times New Roman" w:cs="Times New Roman"/>
                  <w:color w:val="000000" w:themeColor="text1"/>
                </w:rPr>
                <w:t xml:space="preserve"> пунктом третім </w:t>
              </w:r>
            </w:hyperlink>
            <w:hyperlink r:id="rId16">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78BCA229" w:rsidR="00A77AB8" w:rsidRPr="00D600EB" w:rsidRDefault="00DC50D5"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26</w:t>
            </w:r>
            <w:r w:rsidR="00507D28">
              <w:rPr>
                <w:rFonts w:ascii="Times New Roman" w:eastAsia="Times New Roman" w:hAnsi="Times New Roman" w:cs="Times New Roman"/>
                <w:b/>
                <w:color w:val="000000" w:themeColor="text1"/>
                <w:highlight w:val="yellow"/>
              </w:rPr>
              <w:t xml:space="preserve"> лютого</w:t>
            </w:r>
            <w:r w:rsidR="00A236F9">
              <w:rPr>
                <w:rFonts w:ascii="Times New Roman" w:eastAsia="Times New Roman" w:hAnsi="Times New Roman" w:cs="Times New Roman"/>
                <w:b/>
                <w:color w:val="000000" w:themeColor="text1"/>
                <w:highlight w:val="yellow"/>
              </w:rPr>
              <w:t xml:space="preserve"> 2024</w:t>
            </w:r>
            <w:r w:rsidR="005E476C">
              <w:rPr>
                <w:rFonts w:ascii="Times New Roman" w:eastAsia="Times New Roman" w:hAnsi="Times New Roman" w:cs="Times New Roman"/>
                <w:b/>
                <w:color w:val="000000" w:themeColor="text1"/>
                <w:highlight w:val="yellow"/>
              </w:rPr>
              <w:t xml:space="preserve"> року</w:t>
            </w:r>
            <w:r w:rsidR="009F1157">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bookmarkStart w:id="6" w:name="_GoBack"/>
        <w:bookmarkEnd w:id="6"/>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580F54">
              <w:rPr>
                <w:rFonts w:ascii="Times New Roman" w:eastAsia="Times New Roman" w:hAnsi="Times New Roman" w:cs="Times New Roman"/>
                <w:color w:val="000000" w:themeColor="text1"/>
              </w:rPr>
              <w:lastRenderedPageBreak/>
              <w:t>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580F54">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580F54">
              <w:rPr>
                <w:rFonts w:ascii="Times New Roman" w:eastAsia="Times New Roman" w:hAnsi="Times New Roman" w:cs="Times New Roman"/>
                <w:color w:val="000000" w:themeColor="text1"/>
              </w:rPr>
              <w:lastRenderedPageBreak/>
              <w:t>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6E32A78D"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580F54">
              <w:rPr>
                <w:rFonts w:ascii="Times New Roman" w:eastAsia="Times New Roman" w:hAnsi="Times New Roman" w:cs="Times New Roman"/>
                <w:color w:val="000000" w:themeColor="text1"/>
                <w:highlight w:val="white"/>
              </w:rPr>
              <w:lastRenderedPageBreak/>
              <w:t>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50861A72"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0607CA">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00A2325F">
              <w:rPr>
                <w:rFonts w:ascii="Times New Roman" w:eastAsia="Times New Roman" w:hAnsi="Times New Roman" w:cs="Times New Roman"/>
                <w:color w:val="000000" w:themeColor="text1"/>
                <w:highlight w:val="white"/>
              </w:rPr>
              <w:t>/</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w:t>
            </w:r>
            <w:r w:rsidRPr="00580F54">
              <w:rPr>
                <w:rFonts w:ascii="Times New Roman" w:eastAsia="Times New Roman" w:hAnsi="Times New Roman" w:cs="Times New Roman"/>
                <w:color w:val="000000" w:themeColor="text1"/>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80F54">
              <w:rPr>
                <w:rFonts w:ascii="Times New Roman" w:eastAsia="Times New Roman" w:hAnsi="Times New Roman" w:cs="Times New Roman"/>
                <w:color w:val="000000" w:themeColor="text1"/>
                <w:highlight w:val="white"/>
              </w:rPr>
              <w:lastRenderedPageBreak/>
              <w:t>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процедури закупівлі під час укладення договору про закупівлю </w:t>
            </w:r>
            <w:r w:rsidRPr="00580F54">
              <w:rPr>
                <w:rFonts w:ascii="Times New Roman" w:eastAsia="Times New Roman" w:hAnsi="Times New Roman" w:cs="Times New Roman"/>
                <w:color w:val="000000" w:themeColor="text1"/>
                <w:highlight w:val="white"/>
              </w:rPr>
              <w:lastRenderedPageBreak/>
              <w:t>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FC11" w14:textId="77777777" w:rsidR="004E0CD4" w:rsidRDefault="004E0CD4">
      <w:pPr>
        <w:spacing w:after="0" w:line="240" w:lineRule="auto"/>
      </w:pPr>
      <w:r>
        <w:separator/>
      </w:r>
    </w:p>
  </w:endnote>
  <w:endnote w:type="continuationSeparator" w:id="0">
    <w:p w14:paraId="712FE0F7" w14:textId="77777777" w:rsidR="004E0CD4" w:rsidRDefault="004E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50D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EED92" w14:textId="77777777" w:rsidR="004E0CD4" w:rsidRDefault="004E0CD4">
      <w:pPr>
        <w:spacing w:after="0" w:line="240" w:lineRule="auto"/>
      </w:pPr>
      <w:r>
        <w:separator/>
      </w:r>
    </w:p>
  </w:footnote>
  <w:footnote w:type="continuationSeparator" w:id="0">
    <w:p w14:paraId="12E10D2E" w14:textId="77777777" w:rsidR="004E0CD4" w:rsidRDefault="004E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07CA"/>
    <w:rsid w:val="00066F35"/>
    <w:rsid w:val="0008048F"/>
    <w:rsid w:val="000E1F2F"/>
    <w:rsid w:val="000E374F"/>
    <w:rsid w:val="00132773"/>
    <w:rsid w:val="00192347"/>
    <w:rsid w:val="00230D94"/>
    <w:rsid w:val="00235E2D"/>
    <w:rsid w:val="00264859"/>
    <w:rsid w:val="00274192"/>
    <w:rsid w:val="002948EC"/>
    <w:rsid w:val="00294A76"/>
    <w:rsid w:val="002B7F1F"/>
    <w:rsid w:val="002D1DB8"/>
    <w:rsid w:val="002E008D"/>
    <w:rsid w:val="00332520"/>
    <w:rsid w:val="0035015C"/>
    <w:rsid w:val="003612F0"/>
    <w:rsid w:val="0040260F"/>
    <w:rsid w:val="00420765"/>
    <w:rsid w:val="00470EA1"/>
    <w:rsid w:val="00494F35"/>
    <w:rsid w:val="004C065D"/>
    <w:rsid w:val="004D2936"/>
    <w:rsid w:val="004E024D"/>
    <w:rsid w:val="004E0CD4"/>
    <w:rsid w:val="00503A9C"/>
    <w:rsid w:val="00507D28"/>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907BE7"/>
    <w:rsid w:val="00950F52"/>
    <w:rsid w:val="00986E54"/>
    <w:rsid w:val="009B0FE9"/>
    <w:rsid w:val="009F1157"/>
    <w:rsid w:val="009F1CBB"/>
    <w:rsid w:val="00A2325F"/>
    <w:rsid w:val="00A236F9"/>
    <w:rsid w:val="00A65F00"/>
    <w:rsid w:val="00A77AB8"/>
    <w:rsid w:val="00A92AFC"/>
    <w:rsid w:val="00AA59EC"/>
    <w:rsid w:val="00AB1C46"/>
    <w:rsid w:val="00AB2CAB"/>
    <w:rsid w:val="00AD609F"/>
    <w:rsid w:val="00B069AC"/>
    <w:rsid w:val="00B507A7"/>
    <w:rsid w:val="00B67A6A"/>
    <w:rsid w:val="00BA2428"/>
    <w:rsid w:val="00BF6A3D"/>
    <w:rsid w:val="00C204D1"/>
    <w:rsid w:val="00C205ED"/>
    <w:rsid w:val="00C85284"/>
    <w:rsid w:val="00CE0391"/>
    <w:rsid w:val="00CE391F"/>
    <w:rsid w:val="00CF1B4D"/>
    <w:rsid w:val="00D31551"/>
    <w:rsid w:val="00D556F7"/>
    <w:rsid w:val="00D600EB"/>
    <w:rsid w:val="00D963F9"/>
    <w:rsid w:val="00DC50D5"/>
    <w:rsid w:val="00DE28C3"/>
    <w:rsid w:val="00DF1E9D"/>
    <w:rsid w:val="00DF55EC"/>
    <w:rsid w:val="00E2139B"/>
    <w:rsid w:val="00E31B9A"/>
    <w:rsid w:val="00E9627B"/>
    <w:rsid w:val="00EC3080"/>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087CE7-BC2D-4F06-A62B-42C11F1C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40</cp:revision>
  <cp:lastPrinted>2023-05-23T10:52:00Z</cp:lastPrinted>
  <dcterms:created xsi:type="dcterms:W3CDTF">2023-08-25T11:04:00Z</dcterms:created>
  <dcterms:modified xsi:type="dcterms:W3CDTF">2024-02-21T07:39:00Z</dcterms:modified>
</cp:coreProperties>
</file>