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CBB8" w14:textId="77777777" w:rsidR="00ED525F" w:rsidRPr="009A313C" w:rsidRDefault="00ED525F" w:rsidP="00ED525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</w:rPr>
      </w:pPr>
      <w:r w:rsidRPr="009A313C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14:paraId="098B36ED" w14:textId="77777777" w:rsidR="00ED525F" w:rsidRPr="009A313C" w:rsidRDefault="00ED525F" w:rsidP="00ED525F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9A313C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4F15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7ED2">
        <w:rPr>
          <w:rFonts w:ascii="Times New Roman" w:hAnsi="Times New Roman" w:cs="Times New Roman"/>
          <w:sz w:val="20"/>
          <w:szCs w:val="24"/>
        </w:rPr>
        <w:t xml:space="preserve">до </w:t>
      </w:r>
      <w:r>
        <w:rPr>
          <w:rFonts w:ascii="Times New Roman" w:hAnsi="Times New Roman" w:cs="Times New Roman"/>
          <w:sz w:val="20"/>
          <w:szCs w:val="24"/>
        </w:rPr>
        <w:t>тендерної документації</w:t>
      </w:r>
      <w:r w:rsidRPr="00507ED2">
        <w:rPr>
          <w:rFonts w:ascii="Times New Roman" w:hAnsi="Times New Roman" w:cs="Times New Roman"/>
          <w:sz w:val="20"/>
          <w:szCs w:val="24"/>
        </w:rPr>
        <w:t>  про проведення відкритих торгів</w:t>
      </w:r>
    </w:p>
    <w:p w14:paraId="3CC6D6D9" w14:textId="77777777" w:rsidR="00ED525F" w:rsidRPr="009A313C" w:rsidRDefault="00ED525F" w:rsidP="00ED52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2D17E0" w14:textId="77777777" w:rsidR="00ED525F" w:rsidRPr="009A313C" w:rsidRDefault="00ED525F" w:rsidP="00ED52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F9CC6E" w14:textId="77777777" w:rsidR="00ED525F" w:rsidRPr="009702A3" w:rsidRDefault="00ED525F" w:rsidP="00ED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 про технічні, якісні та інші характеристики предмета закупівлі</w:t>
      </w:r>
    </w:p>
    <w:p w14:paraId="012492EC" w14:textId="77777777" w:rsidR="00ED525F" w:rsidRPr="009702A3" w:rsidRDefault="00ED525F" w:rsidP="00ED5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251DFB" w14:textId="77777777" w:rsidR="00ED525F" w:rsidRPr="009702A3" w:rsidRDefault="00ED525F" w:rsidP="00ED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</w:t>
      </w:r>
    </w:p>
    <w:p w14:paraId="71FC1381" w14:textId="77777777" w:rsidR="00ED525F" w:rsidRPr="009702A3" w:rsidRDefault="00ED525F" w:rsidP="00ED5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i/>
          <w:sz w:val="20"/>
          <w:szCs w:val="20"/>
        </w:rPr>
        <w:t>Якщо Учасником пропонується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 </w:t>
      </w:r>
    </w:p>
    <w:p w14:paraId="6E8521D7" w14:textId="77777777" w:rsidR="00ED525F" w:rsidRPr="009702A3" w:rsidRDefault="00ED525F" w:rsidP="00ED525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702A3">
        <w:rPr>
          <w:rFonts w:ascii="Times New Roman" w:hAnsi="Times New Roman" w:cs="Times New Roman"/>
          <w:sz w:val="20"/>
          <w:szCs w:val="20"/>
          <w:lang w:eastAsia="en-US"/>
        </w:rPr>
        <w:t>Учасник в складі тендерної пропозиції повинен надати:</w:t>
      </w:r>
    </w:p>
    <w:p w14:paraId="04701731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1. Завірену Учасником копію технічної картки або листа з підписом та печаткою виробника, з інформацією про технічні характеристики запропонованого предмета закупівлі</w:t>
      </w:r>
      <w:bookmarkStart w:id="0" w:name="_Hlk37162136"/>
      <w:r w:rsidRPr="009702A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365D6F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2. Завірену Учасником таблицю відповідності технічних характеристик запропонованого предмета закупівлі, яка складена і заповнена за формою, що наведена нижче (Інформація про необхідні технічні, якісні та кількісні характеристики предмета закупівлі) завірена підписом та печаткою виробника.</w:t>
      </w:r>
    </w:p>
    <w:bookmarkEnd w:id="0"/>
    <w:p w14:paraId="4FAB52BA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3. Завірений Учасником гарантійний лист виробника (або його уповноваженого представника/дилера) про навчання персоналу Замовника фахівцями виробника (або його уповноваженого представника/дилера) з експлуатації та обслуговування запропонованого предмета закупівлі.</w:t>
      </w:r>
    </w:p>
    <w:p w14:paraId="7A917685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4. Предмет закупівлі, запропонований Учасником, повинен бути новим, таким, що не був у використанні, виготовлений не раніше 2020 року. Надати гарантійний лист завірений учасником. </w:t>
      </w:r>
    </w:p>
    <w:p w14:paraId="397CBB10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5. Гарантійний термін – не менше 24 місяців з моменту вводу в експлуатацію. Надати гарантійний лист завірений учасником. </w:t>
      </w:r>
    </w:p>
    <w:p w14:paraId="01211A46" w14:textId="0FD4625A" w:rsidR="00ED525F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6. Наявність авторизованого заводом-виробником сервісного центру, матеріально технічної бази на території Києва та Київської області, що здійснює тестовий запуск (</w:t>
      </w:r>
      <w:proofErr w:type="spellStart"/>
      <w:r w:rsidRPr="009702A3">
        <w:rPr>
          <w:rFonts w:ascii="Times New Roman" w:eastAsia="Times New Roman" w:hAnsi="Times New Roman" w:cs="Times New Roman"/>
          <w:sz w:val="20"/>
          <w:szCs w:val="20"/>
        </w:rPr>
        <w:t>пусконалагодження</w:t>
      </w:r>
      <w:proofErr w:type="spellEnd"/>
      <w:r w:rsidRPr="009702A3">
        <w:rPr>
          <w:rFonts w:ascii="Times New Roman" w:eastAsia="Times New Roman" w:hAnsi="Times New Roman" w:cs="Times New Roman"/>
          <w:sz w:val="20"/>
          <w:szCs w:val="20"/>
        </w:rPr>
        <w:t>) та гарантійне обслуговування предмета закупівлі та має фахівців, що пройшли навчання на заводі виробнику, та мають право обслуговування. Надати довідку з вказаними адресами сервісних центрів, контактних телефонів, електронних скриньок та переліком спеціалістів.</w:t>
      </w:r>
    </w:p>
    <w:p w14:paraId="6DF9B184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7. Надати гарантійний лист завірений учасником та відповідні сертифікати на фахівців авторизованого сервісного центру з правом обслуговування предмета закупівлі (від виробника)</w:t>
      </w:r>
      <w:r w:rsidRPr="009702A3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1F1BF6BD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8. Гарантійний лист завірений учасником про проведення послуг з доставки, тестового запуску запропонованого предмета закупівлі на об’єкті Замовника за рахунок учасника.</w:t>
      </w:r>
    </w:p>
    <w:p w14:paraId="0ED57154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9. Завірені учасником офіційні технічні характеристики (доступні у відкритих джерелах) запропонованого предмета закупівлі. Надати </w:t>
      </w:r>
      <w:r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підтвердження 100% прийому навантаження за один крок. Технічна картка має містити  дані по просадці напруги та частоти  при 100% </w:t>
      </w:r>
      <w:r w:rsidR="002F7A09"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навантажені</w:t>
      </w:r>
      <w:r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 просіданням не більше 20% по напрузі та 10% по частоті).</w:t>
      </w:r>
    </w:p>
    <w:p w14:paraId="2D694DA0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702A3">
        <w:rPr>
          <w:rFonts w:ascii="Times New Roman" w:hAnsi="Times New Roman" w:cs="Times New Roman"/>
          <w:sz w:val="20"/>
          <w:szCs w:val="20"/>
          <w:lang w:eastAsia="en-US"/>
        </w:rPr>
        <w:t>10. Завірена учасником інструкцію з експлуатації запропонованої моделі на українській мові.</w:t>
      </w:r>
    </w:p>
    <w:p w14:paraId="3BD3D01D" w14:textId="4C91BCBD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11. Спроможність учасника поставити запропонований товар повинна підтверджуватись гарантійним листом від заводу виробника (або його уповноваженого представника</w:t>
      </w:r>
      <w:r w:rsidRPr="00C57EB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2E2529" w:rsidRPr="00C57EB7">
        <w:rPr>
          <w:rFonts w:ascii="Times New Roman" w:eastAsia="Times New Roman" w:hAnsi="Times New Roman" w:cs="Times New Roman"/>
          <w:sz w:val="20"/>
          <w:szCs w:val="20"/>
        </w:rPr>
        <w:t>запропонован</w:t>
      </w:r>
      <w:proofErr w:type="spellEnd"/>
      <w:r w:rsidR="002E2529" w:rsidRPr="00C57EB7">
        <w:rPr>
          <w:rFonts w:ascii="Times New Roman" w:eastAsia="Times New Roman" w:hAnsi="Times New Roman" w:cs="Times New Roman"/>
          <w:sz w:val="20"/>
          <w:szCs w:val="20"/>
          <w:lang w:val="ru-RU"/>
        </w:rPr>
        <w:t>их генератор</w:t>
      </w:r>
      <w:proofErr w:type="spellStart"/>
      <w:r w:rsidR="002E2529" w:rsidRPr="00C57EB7">
        <w:rPr>
          <w:rFonts w:ascii="Times New Roman" w:eastAsia="Times New Roman" w:hAnsi="Times New Roman" w:cs="Times New Roman"/>
          <w:sz w:val="20"/>
          <w:szCs w:val="20"/>
        </w:rPr>
        <w:t>ів</w:t>
      </w:r>
      <w:proofErr w:type="spellEnd"/>
      <w:r w:rsidRPr="00C57EB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  що підтверджує можливість поставки, надання послуг пов’язаних з інтеграцією, здійснення гарантійної підтримки, здійснення ремонту та проведення навчання персоналу Замовника фахівцями виробниками (або його уповноваженого представника, дилера).</w:t>
      </w:r>
    </w:p>
    <w:p w14:paraId="47E3ABF8" w14:textId="77777777" w:rsidR="00ED525F" w:rsidRPr="009702A3" w:rsidRDefault="00ED525F" w:rsidP="00ED525F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12. Обов'язковою умовою є наявність предмета закупівлі на складі Постачальника, що на етапі оцінки тендерних пропозицій підтверджується актом, складеним при відвідуванні представниками замовника складу постачальника.</w:t>
      </w:r>
    </w:p>
    <w:p w14:paraId="04493538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8B5CF2" w14:textId="63795910" w:rsidR="00ED525F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415A9686" w14:textId="4B4D791B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62BE642" w14:textId="0D2D6FEF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32BE457" w14:textId="65E3A024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8836A4E" w14:textId="797FC5DA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5D63FB2" w14:textId="7756611C" w:rsidR="0056594F" w:rsidRDefault="0056594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7D85A05" w14:textId="77777777" w:rsidR="0056594F" w:rsidRDefault="0056594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43171C4" w14:textId="37E64D03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92539A5" w14:textId="44212258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62F54AC" w14:textId="20D027FF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3463DEA" w14:textId="77777777" w:rsidR="00E427F5" w:rsidRDefault="00E427F5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BC542DB" w14:textId="6DB6A78A" w:rsidR="00ED525F" w:rsidRPr="009702A3" w:rsidRDefault="00ED525F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Предмет закупівлі</w:t>
      </w:r>
      <w:r w:rsidRPr="009702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включає:</w:t>
      </w:r>
    </w:p>
    <w:p w14:paraId="79A2956F" w14:textId="77777777" w:rsidR="00ED525F" w:rsidRPr="009702A3" w:rsidRDefault="00ED525F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73"/>
        <w:gridCol w:w="1097"/>
        <w:gridCol w:w="14"/>
        <w:gridCol w:w="3960"/>
      </w:tblGrid>
      <w:tr w:rsidR="00E87A9E" w:rsidRPr="009702A3" w14:paraId="42238662" w14:textId="77777777" w:rsidTr="00185C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92F576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53DF9073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2B56AC9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4CE8726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E87A9E" w:rsidRPr="009702A3" w14:paraId="6191BF7F" w14:textId="77777777" w:rsidTr="00185CCC">
        <w:trPr>
          <w:jc w:val="center"/>
        </w:trPr>
        <w:tc>
          <w:tcPr>
            <w:tcW w:w="562" w:type="dxa"/>
            <w:shd w:val="clear" w:color="auto" w:fill="auto"/>
          </w:tcPr>
          <w:p w14:paraId="67E745AD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E68E327" w14:textId="4FA18A1A" w:rsidR="00E87A9E" w:rsidRDefault="00E87A9E" w:rsidP="00185C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т, </w:t>
            </w:r>
          </w:p>
          <w:p w14:paraId="08DF18D4" w14:textId="77777777" w:rsidR="00E87A9E" w:rsidRDefault="00E87A9E" w:rsidP="00185C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фазний</w:t>
            </w:r>
          </w:p>
          <w:p w14:paraId="71C81F54" w14:textId="184A5031" w:rsidR="00E87A9E" w:rsidRPr="009702A3" w:rsidRDefault="00E87A9E" w:rsidP="00185C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Модульне містечко с. Демидів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566E110" w14:textId="6D315301" w:rsidR="00E87A9E" w:rsidRPr="009702A3" w:rsidRDefault="00E87A9E" w:rsidP="00185CCC">
            <w:pPr>
              <w:widowControl w:val="0"/>
              <w:spacing w:after="0" w:line="240" w:lineRule="auto"/>
              <w:ind w:firstLine="8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D4ECEA" w14:textId="77777777" w:rsidR="00E87A9E" w:rsidRPr="009702A3" w:rsidRDefault="00E87A9E" w:rsidP="00185CC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вартість входить доставка,  </w:t>
            </w:r>
            <w:proofErr w:type="spellStart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розватаження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,  тестовий запуск та навчання персоналу Замовника експлуатації та обслуговуванню</w:t>
            </w:r>
          </w:p>
        </w:tc>
      </w:tr>
    </w:tbl>
    <w:p w14:paraId="0B44BAA4" w14:textId="77777777" w:rsidR="00E87A9E" w:rsidRDefault="00E87A9E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CA72E9" w14:textId="77777777" w:rsidR="00AF5F8C" w:rsidRPr="009702A3" w:rsidRDefault="00AF5F8C" w:rsidP="00AF5F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</w:p>
    <w:p w14:paraId="51A739F2" w14:textId="77777777" w:rsidR="00AF5F8C" w:rsidRPr="009702A3" w:rsidRDefault="00AF5F8C" w:rsidP="00AF5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необхідні технічні, якісні та кількісні характеристики предмета закупівлі </w:t>
      </w:r>
    </w:p>
    <w:p w14:paraId="1766E8EF" w14:textId="553542E7" w:rsidR="00AF5F8C" w:rsidRDefault="00AF5F8C" w:rsidP="00AF5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Генератор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, потужністю не менше </w:t>
      </w:r>
      <w:r w:rsidR="000A385E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E87A9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28D79FAE" w14:textId="7315A209" w:rsidR="00AF5F8C" w:rsidRDefault="00AF5F8C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2410"/>
        <w:gridCol w:w="2238"/>
      </w:tblGrid>
      <w:tr w:rsidR="000A385E" w:rsidRPr="009702A3" w14:paraId="30902E43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75F8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П.н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79D8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9A3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27B6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0A385E" w:rsidRPr="009702A3" w14:paraId="38E8DC1D" w14:textId="77777777" w:rsidTr="004935D6">
        <w:trPr>
          <w:trHeight w:val="557"/>
        </w:trPr>
        <w:tc>
          <w:tcPr>
            <w:tcW w:w="9639" w:type="dxa"/>
            <w:gridSpan w:val="4"/>
            <w:vAlign w:val="center"/>
          </w:tcPr>
          <w:p w14:paraId="264B7C36" w14:textId="29B872F8" w:rsidR="000A385E" w:rsidRPr="000A385E" w:rsidRDefault="000A385E" w:rsidP="000A385E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Основні</w:t>
            </w:r>
          </w:p>
        </w:tc>
      </w:tr>
      <w:tr w:rsidR="000A385E" w:rsidRPr="009702A3" w14:paraId="47F438F4" w14:textId="77777777" w:rsidTr="004935D6">
        <w:trPr>
          <w:trHeight w:val="557"/>
        </w:trPr>
        <w:tc>
          <w:tcPr>
            <w:tcW w:w="597" w:type="dxa"/>
            <w:vAlign w:val="center"/>
          </w:tcPr>
          <w:p w14:paraId="58511CB9" w14:textId="77777777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94" w:type="dxa"/>
            <w:vAlign w:val="center"/>
          </w:tcPr>
          <w:p w14:paraId="3AC7DD65" w14:textId="5E22FEBA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палива</w:t>
            </w:r>
          </w:p>
        </w:tc>
        <w:tc>
          <w:tcPr>
            <w:tcW w:w="2410" w:type="dxa"/>
            <w:vAlign w:val="center"/>
          </w:tcPr>
          <w:p w14:paraId="20852CA8" w14:textId="3560A223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Дизель </w:t>
            </w:r>
          </w:p>
        </w:tc>
        <w:tc>
          <w:tcPr>
            <w:tcW w:w="2238" w:type="dxa"/>
            <w:vAlign w:val="center"/>
          </w:tcPr>
          <w:p w14:paraId="300EEF04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3A08A48" w14:textId="77777777" w:rsidTr="004935D6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3EF" w14:textId="77777777" w:rsidR="000A385E" w:rsidRPr="007E73B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14:paraId="68847C38" w14:textId="77777777" w:rsidR="000A385E" w:rsidRPr="007E73B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6F0C" w14:textId="611A36E0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генератора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F1F" w14:textId="4A0B7A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Синхронний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0FB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7DF1FECB" w14:textId="77777777" w:rsidTr="004935D6">
        <w:trPr>
          <w:trHeight w:val="4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89F" w14:textId="77777777" w:rsidR="000A385E" w:rsidRPr="007E73B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34C9" w14:textId="3DE4267E" w:rsidR="000A385E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Кількість фаз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BF44" w14:textId="74A577ED" w:rsidR="000A385E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48AE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A991509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B912" w14:textId="6ED1614A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D9A" w14:textId="0E40360F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 безперервної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A0D" w14:textId="75F57E5C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години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BE7" w14:textId="77777777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478A4273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C59" w14:textId="718E3B82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265" w14:textId="01FA76C8" w:rsidR="000A385E" w:rsidRPr="000A385E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226" w14:textId="1E99B918" w:rsidR="000A385E" w:rsidRPr="000A385E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D30" w14:textId="77777777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438BF1F4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F78" w14:textId="788DCC28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254" w14:textId="1AFDE038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Номінальна потужність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227" w14:textId="0B8A56D9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кВт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948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1D0AF02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A53" w14:textId="72DE03F4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670" w14:textId="157132AC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Макимальна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потужність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34B" w14:textId="35DE05E3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 кВт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0C9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0EDF4DF5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E37" w14:textId="4A4A975C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954" w14:textId="4B47EC0F" w:rsidR="000A385E" w:rsidRPr="00954462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Коефіцієнт потужності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1F1" w14:textId="1E229CB8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9001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5C5B8DF3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072" w14:textId="2A9D77AB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0FB" w14:textId="66F6E683" w:rsidR="000A385E" w:rsidRPr="00866A4A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688" w14:textId="13DC1C5B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50 Гц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814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38E11B2F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CE5" w14:textId="3CAD4AEC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39C" w14:textId="7090C2CC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Номінальна сила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2C8" w14:textId="3115E203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114А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6D8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01D4A404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530" w14:textId="6DDDE9EF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77B" w14:textId="5ED0F8C9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Ступінь захисту ІР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99BE" w14:textId="1E9BD8E0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29F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7F4CAE72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E0C" w14:textId="277B9A09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CBA" w14:textId="4429D11D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Термін служби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84C" w14:textId="45BE8B25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573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85E9D6E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78D" w14:textId="30D73CDD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DF9" w14:textId="4E77FC66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Конструкція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AAD" w14:textId="6AEC47D2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Стаціонарна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3EF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61F9D57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46E" w14:textId="4FD96893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1B56" w14:textId="11E6DE42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Гарантійни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термін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81B" w14:textId="0B7E514D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міс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302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30B56765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5BC" w14:textId="717FABB9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30C" w14:textId="50846FE9" w:rsidR="000A385E" w:rsidRPr="00D30A88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Повна потужність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6D3" w14:textId="7527ED47" w:rsidR="000A385E" w:rsidRPr="00123AD6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кВА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0C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7CBE4371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4D5" w14:textId="78BFFB8B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2BC" w14:textId="6644A263" w:rsidR="000A385E" w:rsidRPr="00D30A88" w:rsidRDefault="00882143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Захист від перевантаження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5A97" w14:textId="3E8A85C5" w:rsidR="000A385E" w:rsidRPr="00123AD6" w:rsidRDefault="00882143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39F4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5F6D815F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548" w14:textId="4984F7EA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F1E" w14:textId="6603AF5E" w:rsidR="000A385E" w:rsidRPr="00D30A88" w:rsidRDefault="00A354B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Захист від короткого замикання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213" w14:textId="7407DC6B" w:rsidR="000A385E" w:rsidRPr="00123AD6" w:rsidRDefault="00A354B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403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54BD" w:rsidRPr="009702A3" w14:paraId="4D8B83B3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9DB" w14:textId="4323DDC0" w:rsidR="00A354BD" w:rsidRPr="00A354BD" w:rsidRDefault="00A354BD" w:rsidP="00A354BD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Додаткові характеристики</w:t>
            </w:r>
          </w:p>
        </w:tc>
      </w:tr>
      <w:tr w:rsidR="000A385E" w:rsidRPr="009702A3" w14:paraId="284FF5FF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C41" w14:textId="51FED40F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5ED5" w14:textId="0343B6E9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запуску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1014" w14:textId="36C39698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запуск,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електричний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577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0305487B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0139" w14:textId="381A1DF7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A10" w14:textId="0C17B140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Захисний кожух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DB0" w14:textId="28B7C1C3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E36B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79768A72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A88" w14:textId="5CFC5064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7ED" w14:textId="65D46414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температура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нав.середовища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3486" w14:textId="520C7898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 град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FB6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61A4681C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5D1" w14:textId="56A4E6FE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D40" w14:textId="78E32F20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Рівень шуму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06C" w14:textId="1F587445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63 дБ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6B6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53F9B402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BC3" w14:textId="0F3E6FE0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FC5" w14:textId="6BCFE58A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Датчик рівня мастила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9A5" w14:textId="5358BA35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E7CF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435C4183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954" w14:textId="6956906E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4DE" w14:textId="314C3181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Наявність вольтметра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E22E" w14:textId="7B3FD8E7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087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75FFEF70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998" w14:textId="38EFC4AC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F3D" w14:textId="36206538" w:rsidR="000A385E" w:rsidRPr="00D30A88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Лічильник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мотогодин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AE5" w14:textId="523C38A6" w:rsidR="000A385E" w:rsidRPr="00123AD6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D9A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114DD626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B5D" w14:textId="6158C5DC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C68" w14:textId="69E0BD49" w:rsidR="000A385E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Акамулятор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комплекті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61BB" w14:textId="310A46C2" w:rsidR="000A385E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580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385E" w:rsidRPr="009702A3" w14:paraId="4040BFF8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303" w14:textId="25AB7EC9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7AB" w14:textId="5176AA54" w:rsidR="000A385E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Автоматичний регулятор напруги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572" w14:textId="3B77A3E9" w:rsidR="000A385E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695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41D" w:rsidRPr="009702A3" w14:paraId="2651E20A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674" w14:textId="3497D36A" w:rsidR="009A741D" w:rsidRPr="009A741D" w:rsidRDefault="009A741D" w:rsidP="009A741D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Двигун</w:t>
            </w:r>
          </w:p>
        </w:tc>
      </w:tr>
      <w:tr w:rsidR="000A385E" w:rsidRPr="009702A3" w14:paraId="4848324B" w14:textId="77777777" w:rsidTr="000A385E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191" w14:textId="3F2BB425" w:rsidR="000A385E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98A" w14:textId="3F90F448" w:rsidR="000A385E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002" w14:textId="7EC45389" w:rsidR="000A385E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6490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куб.см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480" w14:textId="77777777" w:rsidR="000A385E" w:rsidRPr="009702A3" w:rsidRDefault="000A385E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4ECADFF9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9098" w14:textId="0AAAC217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D616" w14:textId="13C73967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Потужність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CAD" w14:textId="51B3A22D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C03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3BCBE24A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7FA" w14:textId="53E4AD3E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7776" w14:textId="08942ABF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B50" w14:textId="40203A09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Чотиритактний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FD6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04145D58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9CA" w14:textId="06D708E8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A1C" w14:textId="0D375440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паливного баку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1D6" w14:textId="721CB4D6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180 л.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B63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4990A54E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AD6C" w14:textId="027D568B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167" w14:textId="66A9DF9E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Кількість обертів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CF5" w14:textId="648326AF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1500 об/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хв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BC9D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07281AFC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8C1C" w14:textId="1D6DD70F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1CB" w14:textId="3F82746D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масляної системи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F77E" w14:textId="125CB03D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 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94E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00A9" w:rsidRPr="009702A3" w14:paraId="3B9D3AE8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A43" w14:textId="19E015A6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655" w14:textId="0E6DD987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Споживання палива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741F" w14:textId="423B7D37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 л/год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0C5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41D" w:rsidRPr="009702A3" w14:paraId="7C2C52F2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B06" w14:textId="1E8312AD" w:rsidR="009A741D" w:rsidRPr="009A741D" w:rsidRDefault="009A741D" w:rsidP="009A741D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Додаткова інформація</w:t>
            </w:r>
          </w:p>
        </w:tc>
      </w:tr>
      <w:tr w:rsidR="003900A9" w:rsidRPr="009702A3" w14:paraId="25417DD3" w14:textId="77777777" w:rsidTr="003900A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1216" w14:textId="44AB3874" w:rsidR="003900A9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FB8" w14:textId="578A5A9C" w:rsidR="003900A9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Розміри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4A2" w14:textId="40052529" w:rsidR="003900A9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2900х1800х1100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CF0" w14:textId="77777777" w:rsidR="003900A9" w:rsidRPr="009702A3" w:rsidRDefault="003900A9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41D" w:rsidRPr="009702A3" w14:paraId="538B74AB" w14:textId="77777777" w:rsidTr="009A741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018" w14:textId="77A187FD" w:rsidR="009A741D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A0D" w14:textId="150AAF7D" w:rsidR="009A741D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Вага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CB0" w14:textId="6362F6E3" w:rsidR="009A741D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1750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F39" w14:textId="77777777" w:rsidR="009A741D" w:rsidRPr="009702A3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41D" w:rsidRPr="009702A3" w14:paraId="2A9D6C24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072" w14:textId="73C4A598" w:rsidR="009A741D" w:rsidRPr="009A741D" w:rsidRDefault="009A741D" w:rsidP="009A741D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Користувальницькі характеристики</w:t>
            </w:r>
          </w:p>
        </w:tc>
      </w:tr>
      <w:tr w:rsidR="009A741D" w:rsidRPr="009702A3" w14:paraId="09DF126E" w14:textId="77777777" w:rsidTr="009A741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48C" w14:textId="0AEAEA8D" w:rsidR="009A741D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AFA9" w14:textId="1EE4486A" w:rsidR="009A741D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Мінімальна температура навколишнього середовища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986" w14:textId="38F9D179" w:rsidR="009A741D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F6E" w14:textId="77777777" w:rsidR="009A741D" w:rsidRPr="009702A3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41D" w:rsidRPr="009702A3" w14:paraId="2713102A" w14:textId="77777777" w:rsidTr="009A741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5FD" w14:textId="7134DD97" w:rsidR="009A741D" w:rsidRPr="00E427F5" w:rsidRDefault="00E427F5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954F" w14:textId="59F1AADB" w:rsidR="009A741D" w:rsidRPr="00D30A88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охолодження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ED7" w14:textId="7E97B751" w:rsidR="009A741D" w:rsidRPr="00123AD6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Рідина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F175" w14:textId="77777777" w:rsidR="009A741D" w:rsidRPr="009702A3" w:rsidRDefault="009A741D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FB30D51" w14:textId="77777777" w:rsidR="00ED525F" w:rsidRPr="009702A3" w:rsidRDefault="00ED525F" w:rsidP="00386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116477640"/>
      <w:bookmarkStart w:id="2" w:name="_GoBack"/>
      <w:bookmarkEnd w:id="2"/>
    </w:p>
    <w:bookmarkEnd w:id="1"/>
    <w:p w14:paraId="1312E732" w14:textId="77777777" w:rsidR="00ED525F" w:rsidRPr="009702A3" w:rsidRDefault="00ED525F" w:rsidP="00ED525F">
      <w:pPr>
        <w:tabs>
          <w:tab w:val="left" w:pos="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Додаткові вимоги</w:t>
      </w:r>
    </w:p>
    <w:p w14:paraId="573C2BED" w14:textId="77777777" w:rsidR="00ED525F" w:rsidRPr="009702A3" w:rsidRDefault="00ED525F" w:rsidP="00E427F5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6DF6DE" w14:textId="77777777" w:rsidR="00ED525F" w:rsidRPr="009702A3" w:rsidRDefault="00ED525F" w:rsidP="00E427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Наявність офіційного  </w:t>
      </w:r>
      <w:r w:rsidRPr="009702A3">
        <w:rPr>
          <w:rFonts w:ascii="Times New Roman" w:eastAsia="Times New Roman" w:hAnsi="Times New Roman" w:cs="Times New Roman"/>
          <w:sz w:val="20"/>
          <w:szCs w:val="20"/>
          <w:lang w:val="en-US"/>
        </w:rPr>
        <w:t>WEB</w:t>
      </w:r>
      <w:r w:rsidRPr="009702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сайту виробника двигуна </w:t>
      </w:r>
    </w:p>
    <w:p w14:paraId="27A47F56" w14:textId="5BFA507E" w:rsidR="002F7A09" w:rsidRPr="009702A3" w:rsidRDefault="00ED525F" w:rsidP="00E427F5">
      <w:pPr>
        <w:jc w:val="both"/>
        <w:rPr>
          <w:rFonts w:ascii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Для підтвердження комплектації та параметрів заявлених учасником, Постачальник повинен провести приймальні випробування разом  з представником Замовника перед відвантаженням зі складу Постачальника.</w:t>
      </w:r>
    </w:p>
    <w:sectPr w:rsidR="002F7A09" w:rsidRPr="009702A3" w:rsidSect="00736AE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5FEB"/>
    <w:multiLevelType w:val="hybridMultilevel"/>
    <w:tmpl w:val="10500BD6"/>
    <w:lvl w:ilvl="0" w:tplc="6D0CED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A2D"/>
    <w:multiLevelType w:val="hybridMultilevel"/>
    <w:tmpl w:val="166EF434"/>
    <w:lvl w:ilvl="0" w:tplc="AE824B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5D2502B"/>
    <w:multiLevelType w:val="hybridMultilevel"/>
    <w:tmpl w:val="5C8CE730"/>
    <w:lvl w:ilvl="0" w:tplc="70A4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406B7DB2"/>
    <w:multiLevelType w:val="hybridMultilevel"/>
    <w:tmpl w:val="C7823F80"/>
    <w:lvl w:ilvl="0" w:tplc="BE4E37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3A96926"/>
    <w:multiLevelType w:val="hybridMultilevel"/>
    <w:tmpl w:val="4BB49356"/>
    <w:lvl w:ilvl="0" w:tplc="2D08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7B0ADE"/>
    <w:multiLevelType w:val="hybridMultilevel"/>
    <w:tmpl w:val="49081CF8"/>
    <w:lvl w:ilvl="0" w:tplc="44B68F4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AF457AF"/>
    <w:multiLevelType w:val="hybridMultilevel"/>
    <w:tmpl w:val="99DE710E"/>
    <w:lvl w:ilvl="0" w:tplc="56B6F6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62C4704"/>
    <w:multiLevelType w:val="hybridMultilevel"/>
    <w:tmpl w:val="0F128776"/>
    <w:lvl w:ilvl="0" w:tplc="C7EA0B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79B52A9"/>
    <w:multiLevelType w:val="hybridMultilevel"/>
    <w:tmpl w:val="9E42D15C"/>
    <w:lvl w:ilvl="0" w:tplc="60B6836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5F"/>
    <w:rsid w:val="00024A82"/>
    <w:rsid w:val="00026530"/>
    <w:rsid w:val="000A385E"/>
    <w:rsid w:val="000E7675"/>
    <w:rsid w:val="000F091B"/>
    <w:rsid w:val="001221D6"/>
    <w:rsid w:val="00123AD6"/>
    <w:rsid w:val="00185CCC"/>
    <w:rsid w:val="0019677C"/>
    <w:rsid w:val="001C528E"/>
    <w:rsid w:val="00200DAD"/>
    <w:rsid w:val="00251821"/>
    <w:rsid w:val="002D27D7"/>
    <w:rsid w:val="002E2529"/>
    <w:rsid w:val="002F7A09"/>
    <w:rsid w:val="00301C6D"/>
    <w:rsid w:val="0038659F"/>
    <w:rsid w:val="003900A9"/>
    <w:rsid w:val="003C719F"/>
    <w:rsid w:val="003F040D"/>
    <w:rsid w:val="00401404"/>
    <w:rsid w:val="004935D6"/>
    <w:rsid w:val="004C4BBF"/>
    <w:rsid w:val="0056594F"/>
    <w:rsid w:val="00572F67"/>
    <w:rsid w:val="00591EE4"/>
    <w:rsid w:val="005D78E8"/>
    <w:rsid w:val="005E6A64"/>
    <w:rsid w:val="0066020C"/>
    <w:rsid w:val="006E5DB0"/>
    <w:rsid w:val="00736AE3"/>
    <w:rsid w:val="00773B27"/>
    <w:rsid w:val="007E73B2"/>
    <w:rsid w:val="00866A4A"/>
    <w:rsid w:val="00873D40"/>
    <w:rsid w:val="00882143"/>
    <w:rsid w:val="009364F2"/>
    <w:rsid w:val="00954462"/>
    <w:rsid w:val="009702A3"/>
    <w:rsid w:val="0098127D"/>
    <w:rsid w:val="009A44B5"/>
    <w:rsid w:val="009A741D"/>
    <w:rsid w:val="009B7ACA"/>
    <w:rsid w:val="009F76D2"/>
    <w:rsid w:val="00A354BD"/>
    <w:rsid w:val="00A907AD"/>
    <w:rsid w:val="00AD03D2"/>
    <w:rsid w:val="00AF5F8C"/>
    <w:rsid w:val="00B16967"/>
    <w:rsid w:val="00B30412"/>
    <w:rsid w:val="00B60FB5"/>
    <w:rsid w:val="00BC6C06"/>
    <w:rsid w:val="00BD120D"/>
    <w:rsid w:val="00BE3297"/>
    <w:rsid w:val="00C13013"/>
    <w:rsid w:val="00C22846"/>
    <w:rsid w:val="00C2427F"/>
    <w:rsid w:val="00C57EB7"/>
    <w:rsid w:val="00D05555"/>
    <w:rsid w:val="00D30A88"/>
    <w:rsid w:val="00E203B0"/>
    <w:rsid w:val="00E27AB3"/>
    <w:rsid w:val="00E427F5"/>
    <w:rsid w:val="00E5283E"/>
    <w:rsid w:val="00E62426"/>
    <w:rsid w:val="00E87A9E"/>
    <w:rsid w:val="00EC0686"/>
    <w:rsid w:val="00ED525F"/>
    <w:rsid w:val="00EF55DB"/>
    <w:rsid w:val="00F51E58"/>
    <w:rsid w:val="00F66E34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BDE"/>
  <w15:chartTrackingRefBased/>
  <w15:docId w15:val="{6FD2A791-6404-4FFB-A345-39B4456F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25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0D"/>
    <w:rPr>
      <w:rFonts w:ascii="Segoe UI" w:eastAsia="Calibri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E27A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C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6C06"/>
  </w:style>
  <w:style w:type="paragraph" w:styleId="a6">
    <w:name w:val="No Spacing"/>
    <w:uiPriority w:val="1"/>
    <w:qFormat/>
    <w:rsid w:val="000E7675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921D-86C7-4037-AEE0-5617A86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54</cp:revision>
  <cp:lastPrinted>2022-11-18T12:34:00Z</cp:lastPrinted>
  <dcterms:created xsi:type="dcterms:W3CDTF">2022-10-20T10:52:00Z</dcterms:created>
  <dcterms:modified xsi:type="dcterms:W3CDTF">2022-11-21T06:49:00Z</dcterms:modified>
</cp:coreProperties>
</file>