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27" w:rsidRPr="00403927" w:rsidRDefault="00D929B4" w:rsidP="00403927">
      <w:pPr>
        <w:jc w:val="right"/>
        <w:rPr>
          <w:lang w:val="uk-UA"/>
        </w:rPr>
      </w:pPr>
      <w:r>
        <w:rPr>
          <w:lang w:val="uk-UA"/>
        </w:rPr>
        <w:t>Додаток 2</w:t>
      </w:r>
    </w:p>
    <w:p w:rsidR="00403927" w:rsidRPr="00403927" w:rsidRDefault="00403927" w:rsidP="00403927">
      <w:pPr>
        <w:jc w:val="right"/>
        <w:rPr>
          <w:lang w:val="uk-UA"/>
        </w:rPr>
      </w:pPr>
      <w:r w:rsidRPr="00403927">
        <w:rPr>
          <w:lang w:val="uk-UA"/>
        </w:rPr>
        <w:t>до тендерної документації</w:t>
      </w:r>
    </w:p>
    <w:p w:rsidR="00D929B4" w:rsidRPr="00946731" w:rsidRDefault="00D929B4" w:rsidP="00D929B4">
      <w:pPr>
        <w:spacing w:before="240"/>
        <w:jc w:val="center"/>
        <w:rPr>
          <w:lang w:val="uk-UA"/>
        </w:rPr>
      </w:pPr>
      <w:r w:rsidRPr="00946731">
        <w:rPr>
          <w:b/>
          <w:bCs/>
          <w:i/>
          <w:iCs/>
          <w:color w:val="000000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D929B4" w:rsidRPr="0002702E" w:rsidRDefault="00D929B4" w:rsidP="00D929B4">
      <w:pPr>
        <w:spacing w:before="240"/>
        <w:jc w:val="center"/>
        <w:rPr>
          <w:lang w:val="uk-UA"/>
        </w:rPr>
      </w:pPr>
      <w:r w:rsidRPr="0002702E">
        <w:rPr>
          <w:b/>
          <w:bCs/>
          <w:i/>
          <w:iCs/>
          <w:shd w:val="clear" w:color="auto" w:fill="FFFFFF"/>
          <w:lang w:val="uk-UA"/>
        </w:rPr>
        <w:t>ТЕХНІЧНА СПЕЦИФІКАЦІЯ</w:t>
      </w:r>
    </w:p>
    <w:p w:rsidR="00D929B4" w:rsidRPr="008E7291" w:rsidRDefault="00D929B4" w:rsidP="00D929B4">
      <w:pPr>
        <w:widowControl w:val="0"/>
        <w:suppressAutoHyphens/>
        <w:autoSpaceDN w:val="0"/>
        <w:jc w:val="center"/>
        <w:rPr>
          <w:b/>
          <w:snapToGrid w:val="0"/>
          <w:lang w:val="uk-UA"/>
        </w:rPr>
      </w:pPr>
      <w:r w:rsidRPr="008E7291">
        <w:rPr>
          <w:b/>
          <w:snapToGrid w:val="0"/>
          <w:lang w:val="uk-UA"/>
        </w:rPr>
        <w:t>на закупівлю послуг</w:t>
      </w:r>
      <w:r w:rsidR="00D50517">
        <w:rPr>
          <w:b/>
          <w:snapToGrid w:val="0"/>
          <w:lang w:val="uk-UA"/>
        </w:rPr>
        <w:t>и</w:t>
      </w:r>
    </w:p>
    <w:p w:rsidR="00FC4C84" w:rsidRPr="00FC4C84" w:rsidRDefault="00FC4C84" w:rsidP="00FC4C84">
      <w:pPr>
        <w:keepLines/>
        <w:autoSpaceDE w:val="0"/>
        <w:autoSpaceDN w:val="0"/>
        <w:jc w:val="center"/>
        <w:rPr>
          <w:b/>
          <w:bCs/>
          <w:spacing w:val="-3"/>
          <w:lang w:val="uk-UA" w:eastAsia="en-US"/>
        </w:rPr>
      </w:pPr>
      <w:r w:rsidRPr="00903475">
        <w:rPr>
          <w:b/>
          <w:lang w:val="uk-UA"/>
        </w:rPr>
        <w:t>ДК 021:2015: 45340000-2 — Зведення огорож, монтаж поручнів і захисних засобів</w:t>
      </w:r>
      <w:r w:rsidRPr="00903475">
        <w:rPr>
          <w:b/>
          <w:bCs/>
          <w:lang w:val="uk-UA"/>
        </w:rPr>
        <w:t xml:space="preserve"> (П</w:t>
      </w:r>
      <w:r w:rsidRPr="00903475">
        <w:rPr>
          <w:b/>
          <w:bCs/>
          <w:spacing w:val="-3"/>
          <w:lang w:val="uk-UA" w:eastAsia="en-US"/>
        </w:rPr>
        <w:t>оточний ремонт огорожі)</w:t>
      </w:r>
    </w:p>
    <w:p w:rsidR="003160BA" w:rsidRDefault="003160BA" w:rsidP="003160BA">
      <w:pPr>
        <w:ind w:firstLine="720"/>
        <w:jc w:val="both"/>
        <w:rPr>
          <w:iCs/>
          <w:shd w:val="clear" w:color="auto" w:fill="FFFFFF"/>
          <w:lang w:val="uk-UA"/>
        </w:rPr>
      </w:pPr>
    </w:p>
    <w:p w:rsidR="00AE19B4" w:rsidRPr="003160BA" w:rsidRDefault="00AE19B4" w:rsidP="003160BA">
      <w:pPr>
        <w:ind w:firstLine="720"/>
        <w:jc w:val="both"/>
        <w:rPr>
          <w:iCs/>
          <w:shd w:val="clear" w:color="auto" w:fill="FFFFFF"/>
          <w:lang w:val="uk-UA"/>
        </w:rPr>
      </w:pPr>
      <w:r w:rsidRPr="00597437">
        <w:rPr>
          <w:kern w:val="3"/>
          <w:lang w:val="uk-UA" w:eastAsia="zh-CN"/>
        </w:rPr>
        <w:t>Учасники процедури закупівлі повинні надати у складі тендерної пропозиції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даною тендерною документацією</w:t>
      </w:r>
      <w:r w:rsidRPr="00597437">
        <w:rPr>
          <w:lang w:val="uk-UA"/>
        </w:rPr>
        <w:t>, а саме:</w:t>
      </w:r>
    </w:p>
    <w:p w:rsidR="00364D56" w:rsidRPr="004930E1" w:rsidRDefault="00AE19B4" w:rsidP="004930E1">
      <w:pPr>
        <w:numPr>
          <w:ilvl w:val="2"/>
          <w:numId w:val="5"/>
        </w:numPr>
        <w:suppressAutoHyphens/>
        <w:ind w:left="0" w:firstLine="709"/>
        <w:contextualSpacing/>
        <w:jc w:val="both"/>
        <w:rPr>
          <w:bCs/>
          <w:lang w:val="uk-UA" w:eastAsia="zh-CN"/>
        </w:rPr>
      </w:pPr>
      <w:r w:rsidRPr="00364D56">
        <w:rPr>
          <w:lang w:val="uk-UA"/>
        </w:rPr>
        <w:t>договірну ціну з усіма розрахунками, які є її складовими та підтверджуючими розрахунками за статтями витрат договірної ціни у відповідності до</w:t>
      </w:r>
      <w:r w:rsidR="003160BA" w:rsidRPr="003160BA">
        <w:rPr>
          <w:lang w:val="uk-UA"/>
        </w:rPr>
        <w:t xml:space="preserve"> кошторисних норм України</w:t>
      </w:r>
      <w:r w:rsidR="003160BA" w:rsidRPr="003160BA">
        <w:t> </w:t>
      </w:r>
      <w:r w:rsidR="003160BA" w:rsidRPr="003160BA">
        <w:rPr>
          <w:lang w:val="uk-UA"/>
        </w:rPr>
        <w:t>«Настанова з визначення вартості будівництва»</w:t>
      </w:r>
      <w:r w:rsidRPr="00364D56">
        <w:rPr>
          <w:bCs/>
          <w:lang w:val="uk-UA" w:eastAsia="zh-CN"/>
        </w:rPr>
        <w:t>.</w:t>
      </w:r>
      <w:r w:rsidR="004930E1" w:rsidRPr="004930E1">
        <w:rPr>
          <w:bCs/>
          <w:lang w:val="uk-UA" w:eastAsia="zh-CN"/>
        </w:rPr>
        <w:t xml:space="preserve"> </w:t>
      </w:r>
      <w:r w:rsidR="004930E1" w:rsidRPr="00A52F5B">
        <w:rPr>
          <w:bCs/>
          <w:lang w:val="uk-UA" w:eastAsia="zh-CN"/>
        </w:rPr>
        <w:t>Розрахунок ціни пропозиції (договірної ціни) з підтверджуючими розрахунками за статтями витрат договірної ціни, розрахований у ліцензійному програмному комплексі, має бути наданий в електронному сканованому вигляді та додатково в електронному вигляді в форматі інформаційного блоку, сумісного з програмним комплексом АВК.</w:t>
      </w:r>
    </w:p>
    <w:p w:rsidR="004930E1" w:rsidRPr="00682326" w:rsidRDefault="004930E1" w:rsidP="004930E1">
      <w:pPr>
        <w:pStyle w:val="a5"/>
        <w:numPr>
          <w:ilvl w:val="2"/>
          <w:numId w:val="5"/>
        </w:numPr>
        <w:suppressAutoHyphens/>
        <w:ind w:left="0" w:firstLine="709"/>
        <w:jc w:val="both"/>
        <w:rPr>
          <w:bCs/>
          <w:lang w:val="uk-UA" w:eastAsia="zh-CN"/>
        </w:rPr>
      </w:pPr>
      <w:r w:rsidRPr="00364D56">
        <w:rPr>
          <w:bCs/>
          <w:iCs/>
          <w:color w:val="000000"/>
          <w:lang w:val="uk-UA"/>
        </w:rPr>
        <w:t>Якість будівельних матеріалів</w:t>
      </w:r>
      <w:r>
        <w:rPr>
          <w:bCs/>
          <w:iCs/>
          <w:color w:val="000000"/>
          <w:lang w:val="uk-UA"/>
        </w:rPr>
        <w:t>,</w:t>
      </w:r>
      <w:r w:rsidRPr="00221ACC">
        <w:rPr>
          <w:lang w:val="uk-UA"/>
        </w:rPr>
        <w:t xml:space="preserve"> </w:t>
      </w:r>
      <w:r w:rsidRPr="00221ACC">
        <w:rPr>
          <w:bCs/>
          <w:iCs/>
          <w:color w:val="000000"/>
          <w:lang w:val="uk-UA"/>
        </w:rPr>
        <w:t xml:space="preserve">які будуть використовуватись при </w:t>
      </w:r>
      <w:r w:rsidR="00D50517">
        <w:rPr>
          <w:bCs/>
          <w:iCs/>
          <w:color w:val="000000"/>
          <w:lang w:val="uk-UA"/>
        </w:rPr>
        <w:t>надані послуг</w:t>
      </w:r>
      <w:r w:rsidRPr="00221ACC">
        <w:rPr>
          <w:bCs/>
          <w:iCs/>
          <w:color w:val="000000"/>
          <w:lang w:val="uk-UA"/>
        </w:rPr>
        <w:t xml:space="preserve"> за Договором</w:t>
      </w:r>
      <w:r>
        <w:rPr>
          <w:bCs/>
          <w:iCs/>
          <w:color w:val="000000"/>
          <w:lang w:val="uk-UA"/>
        </w:rPr>
        <w:t>,</w:t>
      </w:r>
      <w:r w:rsidRPr="00364D56">
        <w:rPr>
          <w:bCs/>
          <w:iCs/>
          <w:color w:val="000000"/>
          <w:lang w:val="uk-UA"/>
        </w:rPr>
        <w:t xml:space="preserve"> повинна відповідати діючим в Україні </w:t>
      </w:r>
      <w:proofErr w:type="spellStart"/>
      <w:r w:rsidRPr="00364D56">
        <w:rPr>
          <w:bCs/>
          <w:iCs/>
          <w:color w:val="000000"/>
          <w:lang w:val="uk-UA"/>
        </w:rPr>
        <w:t>Держстандартам</w:t>
      </w:r>
      <w:proofErr w:type="spellEnd"/>
      <w:r>
        <w:rPr>
          <w:bCs/>
          <w:iCs/>
          <w:color w:val="000000"/>
          <w:lang w:val="uk-UA"/>
        </w:rPr>
        <w:t>.</w:t>
      </w:r>
    </w:p>
    <w:p w:rsidR="004930E1" w:rsidRPr="001F7590" w:rsidRDefault="004930E1" w:rsidP="004930E1">
      <w:pPr>
        <w:pStyle w:val="a5"/>
        <w:numPr>
          <w:ilvl w:val="2"/>
          <w:numId w:val="5"/>
        </w:numPr>
        <w:suppressAutoHyphens/>
        <w:ind w:left="0" w:firstLine="709"/>
        <w:jc w:val="both"/>
        <w:rPr>
          <w:bCs/>
          <w:lang w:val="uk-UA" w:eastAsia="zh-CN"/>
        </w:rPr>
      </w:pPr>
      <w:r w:rsidRPr="001F7590">
        <w:rPr>
          <w:lang w:val="uk-UA"/>
        </w:rPr>
        <w:t>Учасник надає гарантійний лист, в довільній формі, щодо вчасного та якісного виконання учасником всього обсягу послуг.</w:t>
      </w:r>
    </w:p>
    <w:p w:rsidR="00D73CFD" w:rsidRDefault="00D73CFD" w:rsidP="0007478B">
      <w:pPr>
        <w:ind w:firstLine="425"/>
        <w:jc w:val="both"/>
        <w:rPr>
          <w:noProof/>
          <w:u w:val="single"/>
          <w:lang w:val="uk-UA"/>
        </w:rPr>
      </w:pPr>
    </w:p>
    <w:p w:rsidR="00D73CFD" w:rsidRPr="00D73CFD" w:rsidRDefault="00D73CFD" w:rsidP="00D73CFD">
      <w:pPr>
        <w:widowControl w:val="0"/>
        <w:suppressAutoHyphens/>
        <w:autoSpaceDN w:val="0"/>
        <w:jc w:val="center"/>
        <w:rPr>
          <w:snapToGrid w:val="0"/>
          <w:lang w:val="uk-UA"/>
        </w:rPr>
      </w:pPr>
      <w:r w:rsidRPr="00D73CFD">
        <w:rPr>
          <w:noProof/>
          <w:lang w:val="uk-UA"/>
        </w:rPr>
        <w:t>Технічні вимоги</w:t>
      </w:r>
      <w:r>
        <w:rPr>
          <w:noProof/>
          <w:lang w:val="uk-UA"/>
        </w:rPr>
        <w:t xml:space="preserve"> щодо </w:t>
      </w:r>
      <w:r w:rsidRPr="00D73CFD">
        <w:rPr>
          <w:snapToGrid w:val="0"/>
          <w:lang w:val="uk-UA"/>
        </w:rPr>
        <w:t xml:space="preserve"> закупівл</w:t>
      </w:r>
      <w:r>
        <w:rPr>
          <w:snapToGrid w:val="0"/>
          <w:lang w:val="uk-UA"/>
        </w:rPr>
        <w:t>і</w:t>
      </w:r>
      <w:r w:rsidRPr="00D73CFD">
        <w:rPr>
          <w:snapToGrid w:val="0"/>
          <w:lang w:val="uk-UA"/>
        </w:rPr>
        <w:t xml:space="preserve"> послуг</w:t>
      </w:r>
      <w:r w:rsidR="00D50517">
        <w:rPr>
          <w:snapToGrid w:val="0"/>
          <w:lang w:val="uk-UA"/>
        </w:rPr>
        <w:t>и</w:t>
      </w:r>
    </w:p>
    <w:p w:rsidR="00FC4C84" w:rsidRPr="00FC4C84" w:rsidRDefault="00FC4C84" w:rsidP="00FC4C84">
      <w:pPr>
        <w:keepLines/>
        <w:autoSpaceDE w:val="0"/>
        <w:autoSpaceDN w:val="0"/>
        <w:jc w:val="center"/>
        <w:rPr>
          <w:b/>
          <w:bCs/>
          <w:spacing w:val="-3"/>
          <w:lang w:val="uk-UA" w:eastAsia="en-US"/>
        </w:rPr>
      </w:pPr>
      <w:r w:rsidRPr="00903475">
        <w:rPr>
          <w:b/>
          <w:lang w:val="uk-UA"/>
        </w:rPr>
        <w:t>ДК 021:2015: 45340000-2 — Зведення огорож, монтаж поручнів і захисних засобів</w:t>
      </w:r>
      <w:r w:rsidRPr="00903475">
        <w:rPr>
          <w:b/>
          <w:bCs/>
          <w:lang w:val="uk-UA"/>
        </w:rPr>
        <w:t xml:space="preserve"> (П</w:t>
      </w:r>
      <w:r w:rsidRPr="00903475">
        <w:rPr>
          <w:b/>
          <w:bCs/>
          <w:spacing w:val="-3"/>
          <w:lang w:val="uk-UA" w:eastAsia="en-US"/>
        </w:rPr>
        <w:t>оточний ремонт огорожі)</w:t>
      </w:r>
    </w:p>
    <w:p w:rsidR="0007478B" w:rsidRPr="0007478B" w:rsidRDefault="0007478B" w:rsidP="00D73CFD">
      <w:pPr>
        <w:ind w:firstLine="425"/>
        <w:jc w:val="center"/>
        <w:rPr>
          <w:noProof/>
          <w:u w:val="single"/>
          <w:lang w:val="uk-UA"/>
        </w:rPr>
      </w:pPr>
    </w:p>
    <w:p w:rsidR="00533FAA" w:rsidRPr="00597437" w:rsidRDefault="00533FAA" w:rsidP="00533FAA">
      <w:pPr>
        <w:ind w:firstLine="425"/>
        <w:jc w:val="center"/>
        <w:rPr>
          <w:b/>
          <w:u w:val="single"/>
          <w:lang w:val="uk-UA"/>
        </w:rPr>
      </w:pPr>
      <w:r w:rsidRPr="00597437">
        <w:rPr>
          <w:b/>
          <w:u w:val="single"/>
          <w:lang w:val="uk-UA"/>
        </w:rPr>
        <w:t>Вимоги щодо формування договірної ціни</w:t>
      </w:r>
    </w:p>
    <w:p w:rsidR="00533FAA" w:rsidRPr="00A12CD8" w:rsidRDefault="00533FAA" w:rsidP="00533FAA">
      <w:pPr>
        <w:ind w:firstLine="425"/>
        <w:jc w:val="both"/>
        <w:rPr>
          <w:lang w:val="uk-UA"/>
        </w:rPr>
      </w:pPr>
      <w:r w:rsidRPr="00A12CD8">
        <w:rPr>
          <w:lang w:val="uk-UA"/>
        </w:rPr>
        <w:t xml:space="preserve">Договірна ціна та розрахунки до неї (пояснювальна записка, розрахунок прибутку, адміністративних витрат, розрахунки інших витрат, підсумкова відомості ресурсів, об’єктні та локальні кошториси, розрахунки загальновиробничих витрат)  мають бути складені, бажано, у програмному комплексі АВК-5 у версії не нижче </w:t>
      </w:r>
      <w:r w:rsidRPr="003F112D">
        <w:rPr>
          <w:lang w:val="uk-UA"/>
        </w:rPr>
        <w:t>3.</w:t>
      </w:r>
      <w:r w:rsidR="00D50517" w:rsidRPr="003F112D">
        <w:rPr>
          <w:lang w:val="uk-UA"/>
        </w:rPr>
        <w:t>8</w:t>
      </w:r>
      <w:r w:rsidR="00CF5053" w:rsidRPr="003F112D">
        <w:rPr>
          <w:lang w:val="uk-UA"/>
        </w:rPr>
        <w:t>.</w:t>
      </w:r>
      <w:r w:rsidR="00D50517" w:rsidRPr="003F112D">
        <w:rPr>
          <w:lang w:val="uk-UA"/>
        </w:rPr>
        <w:t>0</w:t>
      </w:r>
      <w:r w:rsidRPr="00A12CD8">
        <w:rPr>
          <w:lang w:val="uk-UA"/>
        </w:rPr>
        <w:t xml:space="preserve"> або в іншому, який має рекомендації </w:t>
      </w:r>
      <w:proofErr w:type="spellStart"/>
      <w:r w:rsidRPr="00A12CD8">
        <w:rPr>
          <w:lang w:val="uk-UA"/>
        </w:rPr>
        <w:t>Мінрегіону</w:t>
      </w:r>
      <w:proofErr w:type="spellEnd"/>
      <w:r w:rsidRPr="00A12CD8">
        <w:rPr>
          <w:lang w:val="uk-UA"/>
        </w:rPr>
        <w:t xml:space="preserve"> до застосування.</w:t>
      </w:r>
    </w:p>
    <w:p w:rsidR="00533FAA" w:rsidRPr="00597437" w:rsidRDefault="00533FAA" w:rsidP="00533FAA">
      <w:pPr>
        <w:pStyle w:val="2"/>
        <w:spacing w:line="240" w:lineRule="auto"/>
        <w:ind w:left="0" w:right="0" w:firstLine="425"/>
        <w:jc w:val="both"/>
        <w:rPr>
          <w:szCs w:val="24"/>
          <w:lang w:val="uk-UA"/>
        </w:rPr>
      </w:pPr>
      <w:r w:rsidRPr="00A12CD8">
        <w:rPr>
          <w:szCs w:val="24"/>
          <w:lang w:val="uk-UA"/>
        </w:rPr>
        <w:t xml:space="preserve">Учасник визначає ціну тендерної пропозиції (договірну ціну) згідно </w:t>
      </w:r>
      <w:r w:rsidR="00CF5053" w:rsidRPr="003160BA">
        <w:rPr>
          <w:lang w:val="uk-UA"/>
        </w:rPr>
        <w:t>кошторисних норм України</w:t>
      </w:r>
      <w:r w:rsidR="00CF5053" w:rsidRPr="003160BA">
        <w:t> </w:t>
      </w:r>
      <w:r w:rsidR="00CF5053" w:rsidRPr="003160BA">
        <w:rPr>
          <w:lang w:val="uk-UA"/>
        </w:rPr>
        <w:t>«Настанова з визначення вартості будівництва</w:t>
      </w:r>
      <w:r w:rsidR="00CF5053">
        <w:rPr>
          <w:lang w:val="uk-UA"/>
        </w:rPr>
        <w:t>»</w:t>
      </w:r>
      <w:r w:rsidRPr="00597437">
        <w:rPr>
          <w:szCs w:val="24"/>
          <w:lang w:val="uk-UA"/>
        </w:rPr>
        <w:t xml:space="preserve">. </w:t>
      </w:r>
    </w:p>
    <w:p w:rsidR="00533FAA" w:rsidRPr="00597437" w:rsidRDefault="00961FF1" w:rsidP="00533FAA">
      <w:pPr>
        <w:ind w:firstLine="425"/>
        <w:jc w:val="both"/>
        <w:rPr>
          <w:lang w:val="uk-UA"/>
        </w:rPr>
      </w:pPr>
      <w:r>
        <w:rPr>
          <w:lang w:val="uk-UA"/>
        </w:rPr>
        <w:t xml:space="preserve">Ціна тендерної </w:t>
      </w:r>
      <w:r w:rsidR="00533FAA" w:rsidRPr="00597437">
        <w:rPr>
          <w:lang w:val="uk-UA"/>
        </w:rPr>
        <w:t xml:space="preserve">пропозиції, за яку Учасник згоден виконати замовлення, розраховується виходячи з обсягів робіт на підставі нормативної потреби в трудових і матеріально-технічних ресурсах, необхідних для здійснення  замовлення та поточних цін на них. </w:t>
      </w:r>
    </w:p>
    <w:p w:rsidR="00533FAA" w:rsidRPr="00597437" w:rsidRDefault="00533FAA" w:rsidP="00533FAA">
      <w:pPr>
        <w:ind w:firstLine="425"/>
        <w:jc w:val="both"/>
        <w:rPr>
          <w:color w:val="FF0000"/>
          <w:lang w:val="uk-UA"/>
        </w:rPr>
      </w:pPr>
      <w:r w:rsidRPr="00597437">
        <w:rPr>
          <w:lang w:val="uk-UA"/>
        </w:rPr>
        <w:t xml:space="preserve">В ціні тендерної пропозиції Учасник визначає вартість усіх запропонованих до виконання  робіт з урахуванням робіт, що виконуються субпідрядними організаціями. </w:t>
      </w:r>
    </w:p>
    <w:p w:rsidR="00533FAA" w:rsidRPr="00961FF1" w:rsidRDefault="00533FAA" w:rsidP="00961FF1">
      <w:pPr>
        <w:ind w:firstLine="425"/>
        <w:jc w:val="both"/>
        <w:rPr>
          <w:lang w:val="uk-UA"/>
        </w:rPr>
      </w:pPr>
      <w:r w:rsidRPr="00597437">
        <w:rPr>
          <w:lang w:val="uk-UA"/>
        </w:rPr>
        <w:t xml:space="preserve">Ціна тендерної пропозиції має бути розрахована та надана у відповідності до Державних та відомчих будівельних норм з урахуванням змін та доповнень за статтями </w:t>
      </w:r>
      <w:r w:rsidRPr="00961FF1">
        <w:rPr>
          <w:lang w:val="uk-UA"/>
        </w:rPr>
        <w:t xml:space="preserve">витрат: </w:t>
      </w:r>
    </w:p>
    <w:p w:rsidR="00533FAA" w:rsidRPr="00597437" w:rsidRDefault="00533FAA" w:rsidP="00961FF1">
      <w:pPr>
        <w:numPr>
          <w:ilvl w:val="0"/>
          <w:numId w:val="6"/>
        </w:numPr>
        <w:tabs>
          <w:tab w:val="left" w:pos="390"/>
          <w:tab w:val="left" w:pos="743"/>
        </w:tabs>
        <w:ind w:left="0" w:firstLine="425"/>
        <w:jc w:val="both"/>
        <w:rPr>
          <w:color w:val="FF0000"/>
          <w:lang w:val="uk-UA"/>
        </w:rPr>
      </w:pPr>
      <w:r w:rsidRPr="00961FF1">
        <w:rPr>
          <w:lang w:val="uk-UA"/>
        </w:rPr>
        <w:t>заробітної</w:t>
      </w:r>
      <w:r w:rsidRPr="00597437">
        <w:rPr>
          <w:lang w:val="uk-UA"/>
        </w:rPr>
        <w:t xml:space="preserve"> плати у розмірі </w:t>
      </w:r>
      <w:r w:rsidR="00D50517">
        <w:rPr>
          <w:lang w:val="uk-UA"/>
        </w:rPr>
        <w:t>9228,00</w:t>
      </w:r>
      <w:r w:rsidRPr="00597437">
        <w:rPr>
          <w:lang w:val="uk-UA"/>
        </w:rPr>
        <w:t xml:space="preserve"> відповідно до коефіцієнту переходу від першого розряду складності робіт до розряду 3,8 відповідно до додатку </w:t>
      </w:r>
      <w:r w:rsidR="00CF5053">
        <w:rPr>
          <w:lang w:val="uk-UA"/>
        </w:rPr>
        <w:t xml:space="preserve">15 </w:t>
      </w:r>
      <w:r w:rsidRPr="00597437">
        <w:rPr>
          <w:lang w:val="uk-UA"/>
        </w:rPr>
        <w:t xml:space="preserve"> </w:t>
      </w:r>
      <w:r w:rsidR="00CF5053" w:rsidRPr="003160BA">
        <w:rPr>
          <w:lang w:val="uk-UA"/>
        </w:rPr>
        <w:t>кошторисних норм України</w:t>
      </w:r>
      <w:r w:rsidR="00CF5053" w:rsidRPr="003160BA">
        <w:t> </w:t>
      </w:r>
      <w:r w:rsidR="00CF5053" w:rsidRPr="003160BA">
        <w:rPr>
          <w:lang w:val="uk-UA"/>
        </w:rPr>
        <w:t>«Настанова з визначення вартості будівництва</w:t>
      </w:r>
      <w:r w:rsidR="00CF5053">
        <w:rPr>
          <w:lang w:val="uk-UA"/>
        </w:rPr>
        <w:t>»</w:t>
      </w:r>
      <w:r w:rsidR="00CF5053" w:rsidRPr="00597437">
        <w:rPr>
          <w:lang w:val="uk-UA"/>
        </w:rPr>
        <w:t xml:space="preserve"> </w:t>
      </w:r>
      <w:r w:rsidRPr="00597437">
        <w:rPr>
          <w:lang w:val="uk-UA"/>
        </w:rPr>
        <w:t>та прогнозного індексу споживчих цін на поточний рік;</w:t>
      </w:r>
      <w:r w:rsidRPr="00597437">
        <w:rPr>
          <w:color w:val="FF0000"/>
          <w:lang w:val="uk-UA"/>
        </w:rPr>
        <w:t xml:space="preserve"> </w:t>
      </w:r>
    </w:p>
    <w:p w:rsidR="00533FAA" w:rsidRPr="00597437" w:rsidRDefault="00533FAA" w:rsidP="00961FF1">
      <w:pPr>
        <w:numPr>
          <w:ilvl w:val="0"/>
          <w:numId w:val="6"/>
        </w:numPr>
        <w:ind w:left="0" w:firstLine="425"/>
        <w:jc w:val="both"/>
        <w:rPr>
          <w:color w:val="000000"/>
          <w:lang w:val="uk-UA"/>
        </w:rPr>
      </w:pPr>
      <w:r w:rsidRPr="00597437">
        <w:rPr>
          <w:lang w:val="uk-UA"/>
        </w:rPr>
        <w:lastRenderedPageBreak/>
        <w:t xml:space="preserve">вартості матеріальних ресурсів, </w:t>
      </w:r>
      <w:r w:rsidRPr="00597437">
        <w:rPr>
          <w:color w:val="000000"/>
          <w:lang w:val="uk-UA"/>
        </w:rPr>
        <w:t xml:space="preserve">які не повинні перевищувати тих, що склалися в регіоні;    </w:t>
      </w:r>
    </w:p>
    <w:p w:rsidR="00533FAA" w:rsidRPr="00597437" w:rsidRDefault="00533FAA" w:rsidP="00961FF1">
      <w:pPr>
        <w:numPr>
          <w:ilvl w:val="0"/>
          <w:numId w:val="6"/>
        </w:numPr>
        <w:ind w:left="0" w:firstLine="425"/>
        <w:jc w:val="both"/>
        <w:rPr>
          <w:lang w:val="uk-UA"/>
        </w:rPr>
      </w:pPr>
      <w:r w:rsidRPr="00597437">
        <w:rPr>
          <w:lang w:val="uk-UA"/>
        </w:rPr>
        <w:t>витрат на транспортування матеріальних ресурсів;</w:t>
      </w:r>
    </w:p>
    <w:p w:rsidR="00533FAA" w:rsidRPr="00597437" w:rsidRDefault="00533FAA" w:rsidP="00F94B6C">
      <w:pPr>
        <w:numPr>
          <w:ilvl w:val="0"/>
          <w:numId w:val="6"/>
        </w:numPr>
        <w:tabs>
          <w:tab w:val="left" w:pos="430"/>
        </w:tabs>
        <w:ind w:left="0" w:firstLine="425"/>
        <w:jc w:val="both"/>
        <w:rPr>
          <w:lang w:val="uk-UA"/>
        </w:rPr>
      </w:pPr>
      <w:r w:rsidRPr="00597437">
        <w:rPr>
          <w:lang w:val="uk-UA"/>
        </w:rPr>
        <w:t>вартості експлуатації машин та механізмів з розрахунком вартості машино-години власної техніки, вартості оренди машино-години орендованої техніки, яка буде застосовуватися для виконання замовлення (за його наявності);</w:t>
      </w:r>
    </w:p>
    <w:p w:rsidR="00533FAA" w:rsidRPr="00597437" w:rsidRDefault="00533FAA" w:rsidP="00F94B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5"/>
        <w:jc w:val="both"/>
        <w:rPr>
          <w:lang w:val="uk-UA"/>
        </w:rPr>
      </w:pPr>
      <w:r w:rsidRPr="00597437">
        <w:rPr>
          <w:lang w:val="uk-UA"/>
        </w:rPr>
        <w:t>загально-виробничих витрат на підставі обґрунтованої їх величини і структури, яка склалася в організації за попередній звітний період (рік) та завантаження організації (в межах усереднених показників).</w:t>
      </w:r>
    </w:p>
    <w:p w:rsidR="00533FAA" w:rsidRPr="00597437" w:rsidRDefault="00533FAA" w:rsidP="00F94B6C">
      <w:pPr>
        <w:widowControl w:val="0"/>
        <w:numPr>
          <w:ilvl w:val="0"/>
          <w:numId w:val="6"/>
        </w:numPr>
        <w:tabs>
          <w:tab w:val="left" w:pos="310"/>
        </w:tabs>
        <w:autoSpaceDE w:val="0"/>
        <w:autoSpaceDN w:val="0"/>
        <w:adjustRightInd w:val="0"/>
        <w:ind w:left="0" w:firstLine="425"/>
        <w:jc w:val="both"/>
        <w:rPr>
          <w:lang w:val="uk-UA"/>
        </w:rPr>
      </w:pPr>
      <w:r w:rsidRPr="00597437">
        <w:rPr>
          <w:lang w:val="uk-UA"/>
        </w:rPr>
        <w:t>коштів на покриття адміністративних витрат на підставі обґрунтованої їх величини і структури, яка склалася в організації за попередній звітний період (рік) та завантаження організації (в межах усереднених показників).</w:t>
      </w:r>
    </w:p>
    <w:p w:rsidR="00533FAA" w:rsidRPr="00597437" w:rsidRDefault="00533FAA" w:rsidP="00F94B6C">
      <w:pPr>
        <w:numPr>
          <w:ilvl w:val="0"/>
          <w:numId w:val="6"/>
        </w:numPr>
        <w:tabs>
          <w:tab w:val="left" w:pos="270"/>
        </w:tabs>
        <w:ind w:left="0" w:firstLine="425"/>
        <w:jc w:val="both"/>
        <w:rPr>
          <w:lang w:val="uk-UA"/>
        </w:rPr>
      </w:pPr>
      <w:r w:rsidRPr="00597437">
        <w:rPr>
          <w:lang w:val="uk-UA"/>
        </w:rPr>
        <w:t>прибутку (в межах усереднених показників).</w:t>
      </w:r>
    </w:p>
    <w:p w:rsidR="00533FAA" w:rsidRPr="00597437" w:rsidRDefault="00533FAA" w:rsidP="00F94B6C">
      <w:pPr>
        <w:ind w:firstLine="425"/>
        <w:jc w:val="both"/>
        <w:rPr>
          <w:lang w:val="uk-UA"/>
        </w:rPr>
      </w:pPr>
      <w:r w:rsidRPr="00597437">
        <w:rPr>
          <w:lang w:val="uk-UA"/>
        </w:rPr>
        <w:t xml:space="preserve">Ціну тендерної пропозиції слід визначати відповідно до вимог щодо термінів закінчення робіт, технології виконання робіт, використання конкретних матеріалів і конструкцій, якості будівельно-монтажних робіт, а також з дотриманням діючих норм і правил виконання робіт, технічної експлуатації будівельної техніки і безпечних умов праці. </w:t>
      </w:r>
    </w:p>
    <w:p w:rsidR="00533FAA" w:rsidRPr="00597437" w:rsidRDefault="00533FAA" w:rsidP="00F94B6C">
      <w:pPr>
        <w:ind w:firstLine="425"/>
        <w:jc w:val="both"/>
        <w:rPr>
          <w:lang w:val="uk-UA"/>
        </w:rPr>
      </w:pPr>
      <w:r w:rsidRPr="00597437">
        <w:rPr>
          <w:lang w:val="uk-UA"/>
        </w:rPr>
        <w:t xml:space="preserve">Вартість тендерної пропозиції та всі інші ціни повинні бути чітко та остаточно визначені, без будь-яких обмежень або застережень. </w:t>
      </w:r>
    </w:p>
    <w:p w:rsidR="00533FAA" w:rsidRPr="00597437" w:rsidRDefault="00533FAA" w:rsidP="00F94B6C">
      <w:pPr>
        <w:pStyle w:val="2"/>
        <w:spacing w:line="240" w:lineRule="auto"/>
        <w:ind w:left="0" w:right="0" w:firstLine="425"/>
        <w:jc w:val="both"/>
        <w:rPr>
          <w:szCs w:val="24"/>
          <w:lang w:val="uk-UA"/>
        </w:rPr>
      </w:pPr>
      <w:r w:rsidRPr="00597437">
        <w:rPr>
          <w:szCs w:val="24"/>
          <w:lang w:val="uk-UA"/>
        </w:rPr>
        <w:t>Не врахована учасником вартість окремих робіт (послуг) не сплачується замовником окремо, а витрати на їх виконання вважаються врахованими у загальній ціні його тендерної пропозиції.</w:t>
      </w:r>
    </w:p>
    <w:p w:rsidR="00533FAA" w:rsidRPr="00597437" w:rsidRDefault="00533FAA" w:rsidP="00F94B6C">
      <w:pPr>
        <w:pStyle w:val="2"/>
        <w:spacing w:line="240" w:lineRule="auto"/>
        <w:ind w:left="0" w:right="0" w:firstLine="425"/>
        <w:jc w:val="both"/>
        <w:rPr>
          <w:szCs w:val="24"/>
          <w:lang w:val="uk-UA"/>
        </w:rPr>
      </w:pPr>
      <w:r w:rsidRPr="00597437">
        <w:rPr>
          <w:szCs w:val="24"/>
          <w:lang w:val="uk-UA"/>
        </w:rPr>
        <w:t xml:space="preserve">Ціна тендерної пропозиції вказується з ПДВ (стосується Учасників, які є платниками ПДВ) та з урахуванням сплати всіх необхідних податків та зборів, із вказівкою та урахуванням </w:t>
      </w:r>
      <w:r w:rsidR="00F94B6C" w:rsidRPr="00597437">
        <w:rPr>
          <w:szCs w:val="24"/>
          <w:lang w:val="uk-UA"/>
        </w:rPr>
        <w:t>зворотних</w:t>
      </w:r>
      <w:r w:rsidRPr="00597437">
        <w:rPr>
          <w:szCs w:val="24"/>
          <w:lang w:val="uk-UA"/>
        </w:rPr>
        <w:t xml:space="preserve"> сум, якщо зворотні матеріали від демонтажу, передбачені в технічному завданні. Вартість ресурсів, що повертаються, зазначається в договірній ціні.</w:t>
      </w:r>
    </w:p>
    <w:p w:rsidR="00533FAA" w:rsidRPr="00597437" w:rsidRDefault="00533FAA" w:rsidP="00F94B6C">
      <w:pPr>
        <w:ind w:firstLine="425"/>
        <w:jc w:val="both"/>
        <w:rPr>
          <w:lang w:val="uk-UA"/>
        </w:rPr>
      </w:pPr>
      <w:r w:rsidRPr="00597437">
        <w:rPr>
          <w:lang w:val="uk-UA"/>
        </w:rPr>
        <w:t xml:space="preserve">Учасник відповідає за одержання всіх необхідних дозволів, ліцензій, сертифікатів на послуги, запропоновані на торги, та самостійно несе всі витрати на отримання таких дозволів, ліцензій, сертифікатів. </w:t>
      </w:r>
    </w:p>
    <w:p w:rsidR="00533FAA" w:rsidRPr="00597437" w:rsidRDefault="00533FAA" w:rsidP="00F94B6C">
      <w:pPr>
        <w:ind w:firstLine="425"/>
        <w:jc w:val="both"/>
        <w:rPr>
          <w:lang w:val="uk-UA"/>
        </w:rPr>
      </w:pPr>
      <w:r w:rsidRPr="00597437">
        <w:rPr>
          <w:lang w:val="uk-UA"/>
        </w:rPr>
        <w:t>До договірної ціни не включаються витрати, пов'язані з підготовкою тендерної пропозиції та з укладенням договору.</w:t>
      </w:r>
    </w:p>
    <w:p w:rsidR="00533FAA" w:rsidRPr="00597437" w:rsidRDefault="00533FAA" w:rsidP="00F94B6C">
      <w:pPr>
        <w:ind w:firstLine="425"/>
        <w:jc w:val="both"/>
        <w:rPr>
          <w:lang w:val="uk-UA"/>
        </w:rPr>
      </w:pPr>
      <w:r w:rsidRPr="00597437">
        <w:rPr>
          <w:lang w:val="uk-UA"/>
        </w:rPr>
        <w:t>Договірна ціна має бути визначена чітко та остаточно без будь-яких посилань, обмежень або застережень.</w:t>
      </w:r>
    </w:p>
    <w:p w:rsidR="00364D56" w:rsidRPr="006C4E91" w:rsidRDefault="00533FAA" w:rsidP="00F94B6C">
      <w:pPr>
        <w:ind w:firstLine="425"/>
        <w:jc w:val="both"/>
        <w:rPr>
          <w:lang w:val="uk-UA"/>
        </w:rPr>
      </w:pPr>
      <w:r w:rsidRPr="00597437">
        <w:rPr>
          <w:lang w:val="uk-UA"/>
        </w:rPr>
        <w:t>Також, на розсуд Учасника, можливі коментарі та пропозиції щодо технічних вимог/характеристик та надання будь-якої додаткової інформації або документів.</w:t>
      </w:r>
    </w:p>
    <w:tbl>
      <w:tblPr>
        <w:tblW w:w="9176" w:type="dxa"/>
        <w:tblInd w:w="-9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0"/>
        <w:gridCol w:w="410"/>
        <w:gridCol w:w="80"/>
        <w:gridCol w:w="5301"/>
        <w:gridCol w:w="29"/>
        <w:gridCol w:w="21"/>
        <w:gridCol w:w="1226"/>
        <w:gridCol w:w="1559"/>
      </w:tblGrid>
      <w:tr w:rsidR="00FB2930" w:rsidRPr="002B6FD9" w:rsidTr="00D543AC">
        <w:trPr>
          <w:gridBefore w:val="2"/>
          <w:gridAfter w:val="2"/>
          <w:wBefore w:w="960" w:type="dxa"/>
          <w:wAfter w:w="2785" w:type="dxa"/>
          <w:trHeight w:val="203"/>
        </w:trPr>
        <w:tc>
          <w:tcPr>
            <w:tcW w:w="5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930" w:rsidRPr="002B6FD9" w:rsidRDefault="00FB2930" w:rsidP="00855CF0">
            <w:pPr>
              <w:keepLines/>
              <w:autoSpaceDE w:val="0"/>
              <w:autoSpaceDN w:val="0"/>
              <w:rPr>
                <w:lang w:val="uk-UA"/>
              </w:rPr>
            </w:pPr>
          </w:p>
        </w:tc>
      </w:tr>
      <w:tr w:rsidR="00D543AC" w:rsidRPr="0007614C" w:rsidTr="00D543AC">
        <w:trPr>
          <w:gridBefore w:val="2"/>
          <w:gridAfter w:val="2"/>
          <w:wBefore w:w="960" w:type="dxa"/>
          <w:wAfter w:w="2785" w:type="dxa"/>
          <w:trHeight w:val="203"/>
        </w:trPr>
        <w:tc>
          <w:tcPr>
            <w:tcW w:w="5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3AC" w:rsidRPr="008276C6" w:rsidRDefault="00D543AC" w:rsidP="00B55D08">
            <w:pPr>
              <w:keepLines/>
              <w:autoSpaceDE w:val="0"/>
              <w:autoSpaceDN w:val="0"/>
              <w:ind w:right="-3839"/>
              <w:jc w:val="center"/>
              <w:rPr>
                <w:lang w:val="uk-UA"/>
              </w:rPr>
            </w:pPr>
            <w:r w:rsidRPr="00683641">
              <w:rPr>
                <w:b/>
                <w:lang w:val="uk-UA"/>
              </w:rPr>
              <w:t>Об’єми робіт:</w:t>
            </w:r>
          </w:p>
        </w:tc>
      </w:tr>
      <w:tr w:rsidR="00D543AC" w:rsidTr="00D543AC">
        <w:tblPrEx>
          <w:jc w:val="center"/>
        </w:tblPrEx>
        <w:trPr>
          <w:gridBefore w:val="3"/>
          <w:gridAfter w:val="3"/>
          <w:wBefore w:w="1040" w:type="dxa"/>
          <w:wAfter w:w="2806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3AC" w:rsidRDefault="00D543AC" w:rsidP="00B55D0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43AC" w:rsidTr="00FC4C84">
        <w:tblPrEx>
          <w:jc w:val="center"/>
        </w:tblPrEx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AC" w:rsidRPr="00683641" w:rsidRDefault="00D543AC" w:rsidP="00B55D08">
            <w:pPr>
              <w:keepLines/>
              <w:autoSpaceDE w:val="0"/>
              <w:autoSpaceDN w:val="0"/>
              <w:jc w:val="center"/>
              <w:rPr>
                <w:i/>
                <w:spacing w:val="-3"/>
                <w:lang w:val="uk-UA"/>
              </w:rPr>
            </w:pPr>
            <w:r w:rsidRPr="00683641">
              <w:rPr>
                <w:i/>
                <w:spacing w:val="-3"/>
                <w:lang w:val="uk-UA"/>
              </w:rPr>
              <w:t>№</w:t>
            </w:r>
          </w:p>
          <w:p w:rsidR="00D543AC" w:rsidRPr="00683641" w:rsidRDefault="00D543AC" w:rsidP="00B55D08">
            <w:pPr>
              <w:keepLines/>
              <w:autoSpaceDE w:val="0"/>
              <w:autoSpaceDN w:val="0"/>
              <w:jc w:val="center"/>
              <w:rPr>
                <w:i/>
              </w:rPr>
            </w:pPr>
            <w:r w:rsidRPr="00683641">
              <w:rPr>
                <w:i/>
                <w:spacing w:val="-3"/>
                <w:lang w:val="uk-UA"/>
              </w:rPr>
              <w:t>п/п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AC" w:rsidRPr="00683641" w:rsidRDefault="00D543AC" w:rsidP="00B55D08">
            <w:pPr>
              <w:keepLines/>
              <w:autoSpaceDE w:val="0"/>
              <w:autoSpaceDN w:val="0"/>
              <w:jc w:val="center"/>
              <w:rPr>
                <w:i/>
              </w:rPr>
            </w:pPr>
            <w:r w:rsidRPr="00683641">
              <w:rPr>
                <w:i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AC" w:rsidRPr="00683641" w:rsidRDefault="00D543AC" w:rsidP="00B55D08">
            <w:pPr>
              <w:keepLines/>
              <w:autoSpaceDE w:val="0"/>
              <w:autoSpaceDN w:val="0"/>
              <w:jc w:val="center"/>
              <w:rPr>
                <w:i/>
                <w:spacing w:val="-3"/>
                <w:lang w:val="uk-UA"/>
              </w:rPr>
            </w:pPr>
            <w:r w:rsidRPr="00683641">
              <w:rPr>
                <w:i/>
                <w:spacing w:val="-3"/>
                <w:lang w:val="uk-UA"/>
              </w:rPr>
              <w:t>Одиниця</w:t>
            </w:r>
          </w:p>
          <w:p w:rsidR="00D543AC" w:rsidRPr="00683641" w:rsidRDefault="00D543AC" w:rsidP="00B55D08">
            <w:pPr>
              <w:keepLines/>
              <w:autoSpaceDE w:val="0"/>
              <w:autoSpaceDN w:val="0"/>
              <w:jc w:val="center"/>
              <w:rPr>
                <w:i/>
              </w:rPr>
            </w:pPr>
            <w:r w:rsidRPr="00683641">
              <w:rPr>
                <w:i/>
                <w:spacing w:val="-3"/>
                <w:lang w:val="uk-UA"/>
              </w:rPr>
              <w:t>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AC" w:rsidRPr="00683641" w:rsidRDefault="00D543AC" w:rsidP="00B55D08">
            <w:pPr>
              <w:keepLines/>
              <w:autoSpaceDE w:val="0"/>
              <w:autoSpaceDN w:val="0"/>
              <w:jc w:val="center"/>
              <w:rPr>
                <w:i/>
              </w:rPr>
            </w:pPr>
            <w:r w:rsidRPr="00683641">
              <w:rPr>
                <w:i/>
                <w:spacing w:val="-3"/>
                <w:lang w:val="uk-UA"/>
              </w:rPr>
              <w:t>Кількість</w:t>
            </w:r>
          </w:p>
        </w:tc>
      </w:tr>
      <w:tr w:rsidR="00FC4C84" w:rsidTr="00FC4C84">
        <w:tblPrEx>
          <w:jc w:val="center"/>
        </w:tblPrEx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B55D08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1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</w:pPr>
            <w:r w:rsidRPr="00FC4C84">
              <w:rPr>
                <w:spacing w:val="-3"/>
                <w:lang w:val="uk-UA"/>
              </w:rPr>
              <w:t>Очищення поверхонь щітками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158,1</w:t>
            </w:r>
          </w:p>
        </w:tc>
      </w:tr>
      <w:tr w:rsidR="00FC4C84" w:rsidTr="00FC4C84">
        <w:tblPrEx>
          <w:jc w:val="center"/>
        </w:tblPrEx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B55D08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FC4C84">
              <w:rPr>
                <w:spacing w:val="-3"/>
                <w:lang w:val="uk-UA"/>
              </w:rPr>
              <w:t>2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</w:pPr>
            <w:r w:rsidRPr="00FC4C84">
              <w:rPr>
                <w:spacing w:val="-3"/>
                <w:lang w:val="uk-UA"/>
              </w:rPr>
              <w:t>Знепилювання металевих поверхонь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158,1</w:t>
            </w:r>
          </w:p>
        </w:tc>
      </w:tr>
      <w:tr w:rsidR="00FC4C84" w:rsidTr="00FC4C84">
        <w:tblPrEx>
          <w:jc w:val="center"/>
        </w:tblPrEx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B55D08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FC4C84">
              <w:rPr>
                <w:lang w:val="uk-UA"/>
              </w:rPr>
              <w:t>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</w:pPr>
            <w:r w:rsidRPr="00FC4C84">
              <w:rPr>
                <w:spacing w:val="-3"/>
                <w:lang w:val="uk-UA"/>
              </w:rPr>
              <w:t>Протравлювання металевих поверхонь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158,1</w:t>
            </w:r>
          </w:p>
        </w:tc>
      </w:tr>
      <w:tr w:rsidR="00FC4C84" w:rsidTr="00FC4C84">
        <w:tblPrEx>
          <w:jc w:val="center"/>
        </w:tblPrEx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B55D08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FC4C84">
              <w:rPr>
                <w:lang w:val="uk-UA"/>
              </w:rPr>
              <w:t>4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Фарбування емаллю за 2 рази металевих поверхонь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</w:pPr>
            <w:r w:rsidRPr="00FC4C84">
              <w:rPr>
                <w:spacing w:val="-3"/>
                <w:lang w:val="uk-UA"/>
              </w:rPr>
              <w:t>декоративних елементів зі сталі на огорожі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48,4</w:t>
            </w:r>
          </w:p>
        </w:tc>
      </w:tr>
      <w:tr w:rsidR="00FC4C84" w:rsidTr="00FC4C84">
        <w:tblPrEx>
          <w:jc w:val="center"/>
        </w:tblPrEx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B55D08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FC4C84">
              <w:rPr>
                <w:lang w:val="uk-UA"/>
              </w:rPr>
              <w:t>5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Фарбування емаллю за 2 рази та з двох сторін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 xml:space="preserve">металевих поверхонь великих </w:t>
            </w:r>
            <w:proofErr w:type="spellStart"/>
            <w:r w:rsidRPr="00FC4C84">
              <w:rPr>
                <w:spacing w:val="-3"/>
                <w:lang w:val="uk-UA"/>
              </w:rPr>
              <w:t>стовбчиків</w:t>
            </w:r>
            <w:proofErr w:type="spellEnd"/>
            <w:r w:rsidRPr="00FC4C84">
              <w:rPr>
                <w:spacing w:val="-3"/>
                <w:lang w:val="uk-UA"/>
              </w:rPr>
              <w:t xml:space="preserve"> воріт та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</w:pPr>
            <w:r w:rsidRPr="00FC4C84">
              <w:rPr>
                <w:spacing w:val="-3"/>
                <w:lang w:val="uk-UA"/>
              </w:rPr>
              <w:t>огорожі (труба діам.110мм)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41,86</w:t>
            </w:r>
          </w:p>
        </w:tc>
      </w:tr>
      <w:tr w:rsidR="00FC4C84" w:rsidTr="00FC4C84">
        <w:tblPrEx>
          <w:jc w:val="center"/>
        </w:tblPrEx>
        <w:trPr>
          <w:trHeight w:val="56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4" w:rsidRPr="00FC4C84" w:rsidRDefault="00FC4C84" w:rsidP="00A705C7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FC4C84">
              <w:rPr>
                <w:lang w:val="uk-UA"/>
              </w:rPr>
              <w:t>6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Фарбування емаллю за 2 рази та з двох сторін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 xml:space="preserve">металевих поверхонь </w:t>
            </w:r>
            <w:proofErr w:type="spellStart"/>
            <w:r w:rsidRPr="00FC4C84">
              <w:rPr>
                <w:spacing w:val="-3"/>
                <w:lang w:val="uk-UA"/>
              </w:rPr>
              <w:t>стовбчиків</w:t>
            </w:r>
            <w:proofErr w:type="spellEnd"/>
            <w:r w:rsidRPr="00FC4C84">
              <w:rPr>
                <w:spacing w:val="-3"/>
                <w:lang w:val="uk-UA"/>
              </w:rPr>
              <w:t xml:space="preserve"> огорожі (труба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</w:pPr>
            <w:r w:rsidRPr="00FC4C84">
              <w:rPr>
                <w:spacing w:val="-3"/>
                <w:lang w:val="uk-UA"/>
              </w:rPr>
              <w:t>діам.25мм)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67,84</w:t>
            </w:r>
          </w:p>
        </w:tc>
      </w:tr>
      <w:tr w:rsidR="00FC4C84" w:rsidTr="00FC4C84">
        <w:tblPrEx>
          <w:jc w:val="center"/>
        </w:tblPrEx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B55D08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lastRenderedPageBreak/>
              <w:t>7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Фарбування емаллю за 2 рази раніше пофарбовани</w:t>
            </w:r>
            <w:bookmarkStart w:id="0" w:name="_GoBack"/>
            <w:bookmarkEnd w:id="0"/>
            <w:r w:rsidRPr="00FC4C84">
              <w:rPr>
                <w:spacing w:val="-3"/>
                <w:lang w:val="uk-UA"/>
              </w:rPr>
              <w:t>х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металевих поверхонь грат та огорож (блоки з сітки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</w:pPr>
            <w:proofErr w:type="spellStart"/>
            <w:r w:rsidRPr="00FC4C84">
              <w:rPr>
                <w:spacing w:val="-3"/>
                <w:lang w:val="uk-UA"/>
              </w:rPr>
              <w:t>рабіца</w:t>
            </w:r>
            <w:proofErr w:type="spellEnd"/>
            <w:r w:rsidRPr="00FC4C84">
              <w:rPr>
                <w:spacing w:val="-3"/>
                <w:lang w:val="uk-UA"/>
              </w:rPr>
              <w:t xml:space="preserve"> забору з рамкою)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563</w:t>
            </w:r>
          </w:p>
        </w:tc>
      </w:tr>
      <w:tr w:rsidR="00FC4C84" w:rsidTr="00FC4C84">
        <w:tblPrEx>
          <w:jc w:val="center"/>
        </w:tblPrEx>
        <w:trPr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4" w:rsidRPr="00FC4C84" w:rsidRDefault="00FC4C84" w:rsidP="00A705C7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FC4C84">
              <w:rPr>
                <w:lang w:val="uk-UA"/>
              </w:rPr>
              <w:t>8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Фарбування емаллю за 2 рази та з двох сторін раніше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 xml:space="preserve">пофарбованих </w:t>
            </w:r>
            <w:proofErr w:type="spellStart"/>
            <w:r w:rsidRPr="00FC4C84">
              <w:rPr>
                <w:spacing w:val="-3"/>
                <w:lang w:val="uk-UA"/>
              </w:rPr>
              <w:t>стовбчиків</w:t>
            </w:r>
            <w:proofErr w:type="spellEnd"/>
            <w:r w:rsidRPr="00FC4C84">
              <w:rPr>
                <w:spacing w:val="-3"/>
                <w:lang w:val="uk-UA"/>
              </w:rPr>
              <w:t xml:space="preserve"> огорожі (</w:t>
            </w:r>
            <w:proofErr w:type="spellStart"/>
            <w:r w:rsidRPr="00FC4C84">
              <w:rPr>
                <w:spacing w:val="-3"/>
                <w:lang w:val="uk-UA"/>
              </w:rPr>
              <w:t>проф.труба</w:t>
            </w:r>
            <w:proofErr w:type="spellEnd"/>
          </w:p>
          <w:p w:rsidR="00FC4C84" w:rsidRPr="00FC4C84" w:rsidRDefault="00FC4C84" w:rsidP="00316176">
            <w:pPr>
              <w:keepLines/>
              <w:autoSpaceDE w:val="0"/>
              <w:autoSpaceDN w:val="0"/>
            </w:pPr>
            <w:r w:rsidRPr="00FC4C84">
              <w:rPr>
                <w:spacing w:val="-3"/>
                <w:lang w:val="uk-UA"/>
              </w:rPr>
              <w:t>50х50х38мм)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7,6</w:t>
            </w:r>
          </w:p>
        </w:tc>
      </w:tr>
      <w:tr w:rsidR="00FC4C84" w:rsidTr="00FC4C84">
        <w:tblPrEx>
          <w:jc w:val="center"/>
        </w:tblPrEx>
        <w:trPr>
          <w:trHeight w:val="32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A705C7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FC4C84">
              <w:rPr>
                <w:lang w:val="uk-UA"/>
              </w:rPr>
              <w:t>9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Фарбування емаллю за 2 рази раніше пофарбованих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металевих поверхонь хвіртки (решітка декоративна з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</w:pPr>
            <w:r w:rsidRPr="00FC4C84">
              <w:rPr>
                <w:spacing w:val="-3"/>
                <w:lang w:val="uk-UA"/>
              </w:rPr>
              <w:t>арматури)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5,2</w:t>
            </w:r>
          </w:p>
        </w:tc>
      </w:tr>
      <w:tr w:rsidR="00FC4C84" w:rsidTr="00FC4C84">
        <w:tblPrEx>
          <w:jc w:val="center"/>
        </w:tblPrEx>
        <w:trPr>
          <w:trHeight w:val="49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C748B8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FC4C84">
              <w:rPr>
                <w:lang w:val="uk-UA"/>
              </w:rPr>
              <w:t>10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Фарбування емаллю за 2 рази раніше пофарбованих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</w:pPr>
            <w:r w:rsidRPr="00FC4C84">
              <w:rPr>
                <w:spacing w:val="-3"/>
                <w:lang w:val="uk-UA"/>
              </w:rPr>
              <w:t>металевих поверхонь хвіртки з металу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5</w:t>
            </w:r>
          </w:p>
        </w:tc>
      </w:tr>
      <w:tr w:rsidR="00FC4C84" w:rsidTr="00FC4C84">
        <w:tblPrEx>
          <w:jc w:val="center"/>
        </w:tblPrEx>
        <w:trPr>
          <w:trHeight w:val="30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B55D08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11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Фарбування емаллю за 2 рази раніше пофарбованих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металевих поверхонь воріт (решітка декоративна з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</w:pPr>
            <w:r w:rsidRPr="00FC4C84">
              <w:rPr>
                <w:spacing w:val="-3"/>
                <w:lang w:val="uk-UA"/>
              </w:rPr>
              <w:t>арматури)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19,2</w:t>
            </w:r>
          </w:p>
        </w:tc>
      </w:tr>
      <w:tr w:rsidR="00FC4C84" w:rsidTr="00FC4C84">
        <w:tblPrEx>
          <w:jc w:val="center"/>
        </w:tblPrEx>
        <w:trPr>
          <w:trHeight w:val="26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B55D08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12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</w:pPr>
            <w:r w:rsidRPr="00FC4C84">
              <w:rPr>
                <w:spacing w:val="-3"/>
                <w:lang w:val="uk-UA"/>
              </w:rPr>
              <w:t>Середній ремонт металевих огорож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143</w:t>
            </w:r>
          </w:p>
        </w:tc>
      </w:tr>
      <w:tr w:rsidR="00FC4C84" w:rsidRPr="00C16287" w:rsidTr="00FC4C84">
        <w:tblPrEx>
          <w:jc w:val="center"/>
        </w:tblPrEx>
        <w:trPr>
          <w:trHeight w:val="26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B55D08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13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Дріт сталевий низьковуглецевий різного призначення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</w:pPr>
            <w:r w:rsidRPr="00FC4C84">
              <w:rPr>
                <w:spacing w:val="-3"/>
                <w:lang w:val="uk-UA"/>
              </w:rPr>
              <w:t>оцинкований, діаметр 2,5 мм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59</w:t>
            </w:r>
          </w:p>
        </w:tc>
      </w:tr>
      <w:tr w:rsidR="00FC4C84" w:rsidRPr="00C16287" w:rsidTr="00FC4C84">
        <w:tblPrEx>
          <w:jc w:val="center"/>
        </w:tblPrEx>
        <w:trPr>
          <w:trHeight w:val="26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B55D08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14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FC4C84">
              <w:rPr>
                <w:spacing w:val="-3"/>
                <w:lang w:val="uk-UA"/>
              </w:rPr>
              <w:t>Дріт сталевий низьковуглецевий загального</w:t>
            </w:r>
          </w:p>
          <w:p w:rsidR="00FC4C84" w:rsidRPr="00FC4C84" w:rsidRDefault="00FC4C84" w:rsidP="00316176">
            <w:pPr>
              <w:keepLines/>
              <w:autoSpaceDE w:val="0"/>
              <w:autoSpaceDN w:val="0"/>
            </w:pPr>
            <w:r w:rsidRPr="00FC4C84">
              <w:rPr>
                <w:spacing w:val="-3"/>
                <w:lang w:val="uk-UA"/>
              </w:rPr>
              <w:t>призначення, діаметр 6 мм, неоцинкований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4" w:rsidRPr="00FC4C84" w:rsidRDefault="00FC4C84" w:rsidP="00316176">
            <w:pPr>
              <w:keepLines/>
              <w:autoSpaceDE w:val="0"/>
              <w:autoSpaceDN w:val="0"/>
              <w:jc w:val="center"/>
            </w:pPr>
            <w:r w:rsidRPr="00FC4C84">
              <w:rPr>
                <w:spacing w:val="-3"/>
                <w:lang w:val="uk-UA"/>
              </w:rPr>
              <w:t>0,135</w:t>
            </w:r>
          </w:p>
        </w:tc>
      </w:tr>
    </w:tbl>
    <w:p w:rsidR="006C4E91" w:rsidRDefault="006C4E91" w:rsidP="006C4E91">
      <w:pPr>
        <w:rPr>
          <w:b/>
          <w:lang w:val="uk-UA"/>
        </w:rPr>
      </w:pPr>
    </w:p>
    <w:p w:rsidR="00F94B6C" w:rsidRDefault="00F94B6C" w:rsidP="006C4E91">
      <w:pPr>
        <w:rPr>
          <w:b/>
          <w:lang w:val="uk-UA"/>
        </w:rPr>
      </w:pPr>
    </w:p>
    <w:p w:rsidR="00F94B6C" w:rsidRDefault="00F94B6C" w:rsidP="006C4E91">
      <w:pPr>
        <w:rPr>
          <w:lang w:val="uk-UA"/>
        </w:rPr>
      </w:pPr>
    </w:p>
    <w:p w:rsidR="006C4E91" w:rsidRPr="006C4E91" w:rsidRDefault="006C4E91" w:rsidP="006C4E91">
      <w:pPr>
        <w:rPr>
          <w:b/>
          <w:bCs/>
          <w:i/>
          <w:iCs/>
          <w:lang w:val="uk-UA"/>
        </w:rPr>
      </w:pPr>
    </w:p>
    <w:p w:rsidR="00B81C43" w:rsidRPr="006C4E91" w:rsidRDefault="00B81C43" w:rsidP="006C4E91">
      <w:pPr>
        <w:rPr>
          <w:lang w:val="uk-UA"/>
        </w:rPr>
      </w:pPr>
    </w:p>
    <w:sectPr w:rsidR="00B81C43" w:rsidRPr="006C4E91" w:rsidSect="0058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BF5"/>
    <w:multiLevelType w:val="hybridMultilevel"/>
    <w:tmpl w:val="3EFC9884"/>
    <w:lvl w:ilvl="0" w:tplc="14D0E462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EC5DA6"/>
    <w:multiLevelType w:val="hybridMultilevel"/>
    <w:tmpl w:val="F9306F92"/>
    <w:lvl w:ilvl="0" w:tplc="9F82B59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11314"/>
    <w:multiLevelType w:val="hybridMultilevel"/>
    <w:tmpl w:val="8368C30A"/>
    <w:lvl w:ilvl="0" w:tplc="D466DF3C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4F954A90"/>
    <w:multiLevelType w:val="hybridMultilevel"/>
    <w:tmpl w:val="3788D78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84D03"/>
    <w:multiLevelType w:val="hybridMultilevel"/>
    <w:tmpl w:val="7C205FD8"/>
    <w:lvl w:ilvl="0" w:tplc="9F82B59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6E70BE"/>
    <w:multiLevelType w:val="hybridMultilevel"/>
    <w:tmpl w:val="B25625D2"/>
    <w:lvl w:ilvl="0" w:tplc="9F82B5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37427"/>
    <w:multiLevelType w:val="hybridMultilevel"/>
    <w:tmpl w:val="AC082D58"/>
    <w:lvl w:ilvl="0" w:tplc="9F82B5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27"/>
    <w:rsid w:val="000044B6"/>
    <w:rsid w:val="00063FE4"/>
    <w:rsid w:val="0007478B"/>
    <w:rsid w:val="0007614C"/>
    <w:rsid w:val="000A1409"/>
    <w:rsid w:val="000A2DA5"/>
    <w:rsid w:val="000A713C"/>
    <w:rsid w:val="00111BB5"/>
    <w:rsid w:val="00142134"/>
    <w:rsid w:val="001523F0"/>
    <w:rsid w:val="00152A5E"/>
    <w:rsid w:val="00176E51"/>
    <w:rsid w:val="00177C97"/>
    <w:rsid w:val="001D4321"/>
    <w:rsid w:val="001F1EE0"/>
    <w:rsid w:val="001F7590"/>
    <w:rsid w:val="001F7709"/>
    <w:rsid w:val="002017B5"/>
    <w:rsid w:val="002135C6"/>
    <w:rsid w:val="00223981"/>
    <w:rsid w:val="00233262"/>
    <w:rsid w:val="00240A85"/>
    <w:rsid w:val="00246649"/>
    <w:rsid w:val="00263CDA"/>
    <w:rsid w:val="00283813"/>
    <w:rsid w:val="002B1781"/>
    <w:rsid w:val="002B26D1"/>
    <w:rsid w:val="002B6FD9"/>
    <w:rsid w:val="002F29F5"/>
    <w:rsid w:val="003160BA"/>
    <w:rsid w:val="00322D83"/>
    <w:rsid w:val="00337F3B"/>
    <w:rsid w:val="003423D2"/>
    <w:rsid w:val="0034753E"/>
    <w:rsid w:val="00364D56"/>
    <w:rsid w:val="003806DE"/>
    <w:rsid w:val="00385F18"/>
    <w:rsid w:val="003A7CFD"/>
    <w:rsid w:val="003D5C1A"/>
    <w:rsid w:val="003F112D"/>
    <w:rsid w:val="00403927"/>
    <w:rsid w:val="004709E7"/>
    <w:rsid w:val="00471C90"/>
    <w:rsid w:val="0047220A"/>
    <w:rsid w:val="00474879"/>
    <w:rsid w:val="00483964"/>
    <w:rsid w:val="004930E1"/>
    <w:rsid w:val="00511E94"/>
    <w:rsid w:val="00515C78"/>
    <w:rsid w:val="00523016"/>
    <w:rsid w:val="00533FAA"/>
    <w:rsid w:val="0054161D"/>
    <w:rsid w:val="00547828"/>
    <w:rsid w:val="00563CF5"/>
    <w:rsid w:val="005876BD"/>
    <w:rsid w:val="00594ED2"/>
    <w:rsid w:val="005C43AE"/>
    <w:rsid w:val="005C706B"/>
    <w:rsid w:val="005D7A3A"/>
    <w:rsid w:val="005F31E5"/>
    <w:rsid w:val="0067095A"/>
    <w:rsid w:val="00675344"/>
    <w:rsid w:val="00683641"/>
    <w:rsid w:val="00693A6B"/>
    <w:rsid w:val="00693D5D"/>
    <w:rsid w:val="006A60A8"/>
    <w:rsid w:val="006B0C56"/>
    <w:rsid w:val="006C4E91"/>
    <w:rsid w:val="006D3271"/>
    <w:rsid w:val="006D5F30"/>
    <w:rsid w:val="006D63AC"/>
    <w:rsid w:val="00707E8B"/>
    <w:rsid w:val="007248E6"/>
    <w:rsid w:val="00730A02"/>
    <w:rsid w:val="00735421"/>
    <w:rsid w:val="00741A3D"/>
    <w:rsid w:val="00776E89"/>
    <w:rsid w:val="007928AD"/>
    <w:rsid w:val="007A22E7"/>
    <w:rsid w:val="007A3B70"/>
    <w:rsid w:val="007C6F5D"/>
    <w:rsid w:val="007D444F"/>
    <w:rsid w:val="007D44BD"/>
    <w:rsid w:val="007D536B"/>
    <w:rsid w:val="007D77D4"/>
    <w:rsid w:val="008276C6"/>
    <w:rsid w:val="00834D8D"/>
    <w:rsid w:val="008D24BB"/>
    <w:rsid w:val="008D68F0"/>
    <w:rsid w:val="008E56FB"/>
    <w:rsid w:val="008E7291"/>
    <w:rsid w:val="008F7121"/>
    <w:rsid w:val="00903475"/>
    <w:rsid w:val="00907119"/>
    <w:rsid w:val="00916E2D"/>
    <w:rsid w:val="00917CD1"/>
    <w:rsid w:val="00961FF1"/>
    <w:rsid w:val="009C05B2"/>
    <w:rsid w:val="009D02A5"/>
    <w:rsid w:val="009F0546"/>
    <w:rsid w:val="00A12D8C"/>
    <w:rsid w:val="00A14B03"/>
    <w:rsid w:val="00A22D23"/>
    <w:rsid w:val="00A705C7"/>
    <w:rsid w:val="00A75E87"/>
    <w:rsid w:val="00AB55DF"/>
    <w:rsid w:val="00AC61D7"/>
    <w:rsid w:val="00AD61EB"/>
    <w:rsid w:val="00AE19B4"/>
    <w:rsid w:val="00B0046B"/>
    <w:rsid w:val="00B247C6"/>
    <w:rsid w:val="00B556D8"/>
    <w:rsid w:val="00B5625D"/>
    <w:rsid w:val="00B61A10"/>
    <w:rsid w:val="00B75212"/>
    <w:rsid w:val="00B81C43"/>
    <w:rsid w:val="00C16287"/>
    <w:rsid w:val="00C162F2"/>
    <w:rsid w:val="00C221B5"/>
    <w:rsid w:val="00C32261"/>
    <w:rsid w:val="00C4021B"/>
    <w:rsid w:val="00C46A4D"/>
    <w:rsid w:val="00C65CD7"/>
    <w:rsid w:val="00C73665"/>
    <w:rsid w:val="00C748B8"/>
    <w:rsid w:val="00C75CF8"/>
    <w:rsid w:val="00CA6D0E"/>
    <w:rsid w:val="00CE4D40"/>
    <w:rsid w:val="00CF1F72"/>
    <w:rsid w:val="00CF4987"/>
    <w:rsid w:val="00CF5053"/>
    <w:rsid w:val="00D13FC7"/>
    <w:rsid w:val="00D14FA6"/>
    <w:rsid w:val="00D26FA4"/>
    <w:rsid w:val="00D32270"/>
    <w:rsid w:val="00D37A89"/>
    <w:rsid w:val="00D50517"/>
    <w:rsid w:val="00D543AC"/>
    <w:rsid w:val="00D55D40"/>
    <w:rsid w:val="00D647E7"/>
    <w:rsid w:val="00D6604C"/>
    <w:rsid w:val="00D73CFD"/>
    <w:rsid w:val="00D84F06"/>
    <w:rsid w:val="00D929B4"/>
    <w:rsid w:val="00DB1199"/>
    <w:rsid w:val="00DD1C89"/>
    <w:rsid w:val="00E12EC5"/>
    <w:rsid w:val="00E20024"/>
    <w:rsid w:val="00E41F10"/>
    <w:rsid w:val="00E4663C"/>
    <w:rsid w:val="00E508FF"/>
    <w:rsid w:val="00E613A3"/>
    <w:rsid w:val="00E7666F"/>
    <w:rsid w:val="00E76674"/>
    <w:rsid w:val="00E80EA1"/>
    <w:rsid w:val="00E81C93"/>
    <w:rsid w:val="00EE1E70"/>
    <w:rsid w:val="00EF6124"/>
    <w:rsid w:val="00F10E63"/>
    <w:rsid w:val="00F22847"/>
    <w:rsid w:val="00F428E0"/>
    <w:rsid w:val="00F67238"/>
    <w:rsid w:val="00F71542"/>
    <w:rsid w:val="00F94B6C"/>
    <w:rsid w:val="00F96291"/>
    <w:rsid w:val="00FB2930"/>
    <w:rsid w:val="00FB771B"/>
    <w:rsid w:val="00FC40AE"/>
    <w:rsid w:val="00FC4C84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4321"/>
    <w:pPr>
      <w:ind w:left="720"/>
      <w:contextualSpacing/>
    </w:pPr>
  </w:style>
  <w:style w:type="character" w:customStyle="1" w:styleId="T72">
    <w:name w:val="T72"/>
    <w:hidden/>
    <w:rsid w:val="00533FAA"/>
  </w:style>
  <w:style w:type="paragraph" w:styleId="a6">
    <w:name w:val="Plain Text"/>
    <w:basedOn w:val="a"/>
    <w:link w:val="a7"/>
    <w:rsid w:val="00533FAA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533FAA"/>
    <w:rPr>
      <w:rFonts w:ascii="Consolas" w:eastAsia="Calibri" w:hAnsi="Consolas" w:cs="Times New Roman"/>
      <w:sz w:val="21"/>
      <w:szCs w:val="21"/>
    </w:rPr>
  </w:style>
  <w:style w:type="paragraph" w:customStyle="1" w:styleId="2">
    <w:name w:val="Обычный2"/>
    <w:rsid w:val="00533FAA"/>
    <w:pPr>
      <w:widowControl w:val="0"/>
      <w:snapToGrid w:val="0"/>
      <w:spacing w:after="0" w:line="300" w:lineRule="auto"/>
      <w:ind w:left="120" w:right="400"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B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4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4321"/>
    <w:pPr>
      <w:ind w:left="720"/>
      <w:contextualSpacing/>
    </w:pPr>
  </w:style>
  <w:style w:type="character" w:customStyle="1" w:styleId="T72">
    <w:name w:val="T72"/>
    <w:hidden/>
    <w:rsid w:val="00533FAA"/>
  </w:style>
  <w:style w:type="paragraph" w:styleId="a6">
    <w:name w:val="Plain Text"/>
    <w:basedOn w:val="a"/>
    <w:link w:val="a7"/>
    <w:rsid w:val="00533FAA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533FAA"/>
    <w:rPr>
      <w:rFonts w:ascii="Consolas" w:eastAsia="Calibri" w:hAnsi="Consolas" w:cs="Times New Roman"/>
      <w:sz w:val="21"/>
      <w:szCs w:val="21"/>
    </w:rPr>
  </w:style>
  <w:style w:type="paragraph" w:customStyle="1" w:styleId="2">
    <w:name w:val="Обычный2"/>
    <w:rsid w:val="00533FAA"/>
    <w:pPr>
      <w:widowControl w:val="0"/>
      <w:snapToGrid w:val="0"/>
      <w:spacing w:after="0" w:line="300" w:lineRule="auto"/>
      <w:ind w:left="120" w:right="400"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9B2A-18BE-4239-AF64-62DD45BA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Админ</cp:lastModifiedBy>
  <cp:revision>9</cp:revision>
  <cp:lastPrinted>2021-04-29T11:36:00Z</cp:lastPrinted>
  <dcterms:created xsi:type="dcterms:W3CDTF">2022-08-16T11:44:00Z</dcterms:created>
  <dcterms:modified xsi:type="dcterms:W3CDTF">2023-03-23T08:47:00Z</dcterms:modified>
</cp:coreProperties>
</file>