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52D1" w14:textId="77777777" w:rsidR="007126D2" w:rsidRDefault="007126D2" w:rsidP="007126D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ДОДАТОК 1</w:t>
      </w:r>
    </w:p>
    <w:p w14:paraId="442FCD27" w14:textId="77777777" w:rsidR="007126D2" w:rsidRPr="0088468E" w:rsidRDefault="007126D2" w:rsidP="007126D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 w:rsidRPr="008846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78DE37F7" w14:textId="77777777" w:rsidR="007126D2" w:rsidRDefault="007126D2" w:rsidP="007126D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3C1D0D5" w14:textId="77777777" w:rsidR="005644D0" w:rsidRDefault="005644D0" w:rsidP="005644D0">
      <w:pPr>
        <w:pStyle w:val="ae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64B2CC4C" w14:textId="77777777" w:rsidR="005644D0" w:rsidRDefault="005644D0" w:rsidP="005644D0">
      <w:pPr>
        <w:pStyle w:val="ae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52629227" w14:textId="77777777" w:rsidR="005644D0" w:rsidRDefault="005644D0" w:rsidP="005644D0">
      <w:pPr>
        <w:pStyle w:val="ae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729D48A2" w14:textId="1D0D4C66" w:rsidR="00E756D3" w:rsidRPr="00EF05F7" w:rsidRDefault="005644D0" w:rsidP="005644D0">
      <w:pPr>
        <w:pStyle w:val="ae"/>
        <w:shd w:val="clear" w:color="auto" w:fill="FFFFFF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1.</w:t>
      </w:r>
      <w:r w:rsidR="007126D2" w:rsidRPr="00EF05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ПЕРЕЛІК</w:t>
      </w:r>
      <w:proofErr w:type="spellEnd"/>
      <w:r w:rsidR="007126D2" w:rsidRPr="00EF05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ДОКУМЕНТІВ</w:t>
      </w:r>
    </w:p>
    <w:p w14:paraId="38780854" w14:textId="66B4E3C1" w:rsidR="00E756D3" w:rsidRPr="005644D0" w:rsidRDefault="00E756D3" w:rsidP="00E756D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644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для підтвердження відповідності учасника кваліфікаційним критеріям </w:t>
      </w:r>
    </w:p>
    <w:p w14:paraId="68185A9A" w14:textId="77777777" w:rsidR="007126D2" w:rsidRDefault="007126D2" w:rsidP="007126D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10068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09"/>
        <w:gridCol w:w="2835"/>
        <w:gridCol w:w="6524"/>
      </w:tblGrid>
      <w:tr w:rsidR="007126D2" w:rsidRPr="0088468E" w14:paraId="0636D5A3" w14:textId="77777777" w:rsidTr="007126D2">
        <w:trPr>
          <w:trHeight w:val="64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8B598" w14:textId="77777777" w:rsidR="007126D2" w:rsidRDefault="007126D2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B3BB2" w14:textId="77777777" w:rsidR="007126D2" w:rsidRDefault="007126D2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DED57" w14:textId="2F6855F9" w:rsidR="007126D2" w:rsidRDefault="007126D2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Документи</w:t>
            </w:r>
            <w:r w:rsidR="007D4B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 які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підтверджують відповідність Учасника кваліфікаційним критеріям</w:t>
            </w:r>
          </w:p>
        </w:tc>
      </w:tr>
      <w:tr w:rsidR="007126D2" w:rsidRPr="007D4BA8" w14:paraId="239F86C4" w14:textId="77777777" w:rsidTr="007126D2">
        <w:trPr>
          <w:trHeight w:val="2255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E7615" w14:textId="77777777" w:rsidR="007126D2" w:rsidRDefault="007126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4A905" w14:textId="76ED78FD" w:rsidR="007126D2" w:rsidRPr="007D4BA8" w:rsidRDefault="007D4BA8" w:rsidP="007D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7D4BA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аявність</w:t>
            </w:r>
            <w:proofErr w:type="spellEnd"/>
            <w:r w:rsidRPr="007D4BA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D4BA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7D4BA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BA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D4BA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BA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D4BA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BA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7D4BA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BA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7D4BA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BA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7D4BA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4BA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9744C" w14:textId="4795BF81" w:rsidR="007126D2" w:rsidRDefault="007126D2" w:rsidP="007D4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підтвердження</w:t>
            </w:r>
            <w:r w:rsidR="007D4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наявності в учасника</w:t>
            </w:r>
            <w:r w:rsidR="007D4BA8" w:rsidRPr="007D4BA8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обладнання, матеріально-технічної бази та технологій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7D4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часник має надати довідку в довільній формі, з</w:t>
            </w:r>
            <w:r w:rsidR="007D4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необхідною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інформацією</w:t>
            </w:r>
            <w:r w:rsidR="007D4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</w:tbl>
    <w:p w14:paraId="71B3D496" w14:textId="77777777" w:rsidR="007126D2" w:rsidRDefault="007126D2" w:rsidP="007126D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3A7DFFB3" w14:textId="72EC1ACB" w:rsidR="00E756D3" w:rsidRDefault="00E756D3" w:rsidP="00E756D3">
      <w:pPr>
        <w:pStyle w:val="ae"/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lang w:val="uk-UA"/>
        </w:rPr>
      </w:pPr>
    </w:p>
    <w:p w14:paraId="66CCD481" w14:textId="5B015551" w:rsidR="005644D0" w:rsidRDefault="005644D0" w:rsidP="00E756D3">
      <w:pPr>
        <w:pStyle w:val="ae"/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lang w:val="uk-UA"/>
        </w:rPr>
      </w:pPr>
    </w:p>
    <w:p w14:paraId="5D32F950" w14:textId="079359B1" w:rsidR="005644D0" w:rsidRDefault="005644D0" w:rsidP="00E756D3">
      <w:pPr>
        <w:pStyle w:val="ae"/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lang w:val="uk-UA"/>
        </w:rPr>
      </w:pPr>
    </w:p>
    <w:p w14:paraId="3AE496CB" w14:textId="6E79CC20" w:rsidR="005644D0" w:rsidRDefault="005644D0" w:rsidP="00E756D3">
      <w:pPr>
        <w:pStyle w:val="ae"/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lang w:val="uk-UA"/>
        </w:rPr>
      </w:pPr>
    </w:p>
    <w:p w14:paraId="5198D46C" w14:textId="6F1A032E" w:rsidR="005644D0" w:rsidRDefault="005644D0" w:rsidP="00E756D3">
      <w:pPr>
        <w:pStyle w:val="ae"/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lang w:val="uk-UA"/>
        </w:rPr>
      </w:pPr>
    </w:p>
    <w:p w14:paraId="53F8F4A5" w14:textId="10CE3E61" w:rsidR="005644D0" w:rsidRDefault="005644D0" w:rsidP="00E756D3">
      <w:pPr>
        <w:pStyle w:val="ae"/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lang w:val="uk-UA"/>
        </w:rPr>
      </w:pPr>
    </w:p>
    <w:p w14:paraId="533BB9F2" w14:textId="35596749" w:rsidR="005644D0" w:rsidRDefault="005644D0" w:rsidP="00E756D3">
      <w:pPr>
        <w:pStyle w:val="ae"/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lang w:val="uk-UA"/>
        </w:rPr>
      </w:pPr>
    </w:p>
    <w:p w14:paraId="41DC245A" w14:textId="77777777" w:rsidR="005644D0" w:rsidRPr="00E756D3" w:rsidRDefault="005644D0" w:rsidP="00E756D3">
      <w:pPr>
        <w:pStyle w:val="ae"/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lang w:val="uk-UA"/>
        </w:rPr>
      </w:pPr>
    </w:p>
    <w:p w14:paraId="147D1B53" w14:textId="2138E447" w:rsidR="00E756D3" w:rsidRPr="00E756D3" w:rsidRDefault="00E756D3" w:rsidP="00E756D3">
      <w:pPr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lang w:val="uk-UA"/>
        </w:rPr>
        <w:t xml:space="preserve">2. </w:t>
      </w:r>
      <w:r w:rsidR="007126D2" w:rsidRPr="00E756D3">
        <w:rPr>
          <w:rFonts w:ascii="Times New Roman" w:hAnsi="Times New Roman" w:cs="Times New Roman"/>
          <w:b/>
          <w:bCs/>
          <w:iCs/>
          <w:color w:val="000000" w:themeColor="text1"/>
          <w:sz w:val="24"/>
          <w:lang w:val="uk-UA"/>
        </w:rPr>
        <w:t xml:space="preserve">ПЕРЕЛІК </w:t>
      </w:r>
      <w:r w:rsidR="007126D2" w:rsidRPr="00E756D3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>ДОКУМЕНТІВ</w:t>
      </w:r>
    </w:p>
    <w:p w14:paraId="0E727348" w14:textId="1AC3D625" w:rsidR="00E756D3" w:rsidRPr="005644D0" w:rsidRDefault="00E756D3" w:rsidP="00E756D3">
      <w:pPr>
        <w:pStyle w:val="ae"/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lang w:val="uk-UA"/>
        </w:rPr>
      </w:pPr>
      <w:r w:rsidRPr="005644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для підтвердження відповідності учасника </w:t>
      </w:r>
      <w:r w:rsidR="008A1ED0" w:rsidRPr="005644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вимогам, визначеним у </w:t>
      </w:r>
      <w:proofErr w:type="spellStart"/>
      <w:r w:rsidR="008A1ED0" w:rsidRPr="005644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ст.17</w:t>
      </w:r>
      <w:proofErr w:type="spellEnd"/>
      <w:r w:rsidR="008A1ED0" w:rsidRPr="005644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Закону України «Про публічні закупівлі»</w:t>
      </w:r>
    </w:p>
    <w:p w14:paraId="057B00C8" w14:textId="77777777" w:rsidR="007126D2" w:rsidRDefault="007126D2" w:rsidP="007126D2">
      <w:pPr>
        <w:pStyle w:val="ae"/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lang w:val="uk-UA"/>
        </w:rPr>
      </w:pPr>
    </w:p>
    <w:p w14:paraId="5AD9A89C" w14:textId="453DCB1F" w:rsidR="007126D2" w:rsidRDefault="00DA4421" w:rsidP="00DA44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="00712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Учасник процедури закупівлі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</w:t>
      </w:r>
      <w:proofErr w:type="spellStart"/>
      <w:r w:rsidR="00712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="00712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пропозиції.</w:t>
      </w:r>
    </w:p>
    <w:p w14:paraId="6B265A79" w14:textId="5AFB1FAD" w:rsidR="007126D2" w:rsidRDefault="00DA4421" w:rsidP="00DA44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="00712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="00712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="00712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14:paraId="280EE7E8" w14:textId="77777777" w:rsidR="007126D2" w:rsidRDefault="007126D2" w:rsidP="00712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E38034" w14:textId="356B5974" w:rsidR="007126D2" w:rsidRDefault="007126D2" w:rsidP="00712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25378ED" w14:textId="0753085F" w:rsidR="005644D0" w:rsidRDefault="005644D0" w:rsidP="00712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774EA1F" w14:textId="7B467748" w:rsidR="005644D0" w:rsidRDefault="005644D0" w:rsidP="00712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95B050F" w14:textId="13DDECB0" w:rsidR="005644D0" w:rsidRDefault="005644D0" w:rsidP="00712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3CDE66B" w14:textId="4D0D5F7A" w:rsidR="005644D0" w:rsidRDefault="005644D0" w:rsidP="00712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514A589" w14:textId="541F46EB" w:rsidR="005644D0" w:rsidRDefault="005644D0" w:rsidP="00712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EF09085" w14:textId="77777777" w:rsidR="005644D0" w:rsidRDefault="005644D0" w:rsidP="00712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BA2B52" w14:textId="77777777" w:rsidR="007126D2" w:rsidRDefault="007126D2" w:rsidP="00712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E6E5A3E" w14:textId="0D5E3187" w:rsidR="00EF05F7" w:rsidRDefault="005644D0" w:rsidP="005644D0">
      <w:pPr>
        <w:pStyle w:val="ae"/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3.</w:t>
      </w:r>
      <w:r w:rsidR="007126D2" w:rsidRPr="00EF05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ПЕРЕЛІК</w:t>
      </w:r>
      <w:proofErr w:type="spellEnd"/>
      <w:r w:rsidR="007126D2" w:rsidRPr="00EF05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ДОКУМЕНТІВ</w:t>
      </w:r>
    </w:p>
    <w:p w14:paraId="34E60435" w14:textId="671D7DD2" w:rsidR="00EF05F7" w:rsidRPr="005644D0" w:rsidRDefault="00EF05F7" w:rsidP="005644D0">
      <w:pPr>
        <w:pStyle w:val="ae"/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lang w:val="uk-UA"/>
        </w:rPr>
      </w:pPr>
      <w:r w:rsidRPr="00564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для підтвердження</w:t>
      </w:r>
      <w:r w:rsidR="00725FED" w:rsidRPr="00564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переможцем процедури закупівлі відсутності підстав, передбачених </w:t>
      </w:r>
      <w:proofErr w:type="spellStart"/>
      <w:r w:rsidR="00725FED" w:rsidRPr="00564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ст.17</w:t>
      </w:r>
      <w:proofErr w:type="spellEnd"/>
      <w:r w:rsidR="00725FED" w:rsidRPr="00564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Закону України «Про публічні закупівлі» у відповідності до вимог особливостей</w:t>
      </w:r>
    </w:p>
    <w:p w14:paraId="504A2772" w14:textId="712DD341" w:rsidR="007126D2" w:rsidRDefault="007126D2" w:rsidP="007126D2">
      <w:pPr>
        <w:pStyle w:val="ae"/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lang w:val="uk-UA"/>
        </w:rPr>
      </w:pPr>
    </w:p>
    <w:p w14:paraId="7F0B6FDC" w14:textId="77777777" w:rsidR="00255ECC" w:rsidRDefault="00255ECC" w:rsidP="007126D2">
      <w:pPr>
        <w:pStyle w:val="ae"/>
        <w:tabs>
          <w:tab w:val="left" w:pos="360"/>
          <w:tab w:val="left" w:pos="709"/>
          <w:tab w:val="left" w:pos="9225"/>
          <w:tab w:val="left" w:pos="103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lang w:val="uk-UA"/>
        </w:rPr>
      </w:pPr>
    </w:p>
    <w:p w14:paraId="47D81D66" w14:textId="4308C7B9" w:rsidR="007126D2" w:rsidRPr="00725FED" w:rsidRDefault="00725FED" w:rsidP="00725FE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    </w:t>
      </w:r>
      <w:r w:rsidR="007126D2" w:rsidRPr="00725FE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Замовник зобов’язаний відхилити тендерну пропозицію переможця процедури закупівлі в разі, коли </w:t>
      </w:r>
      <w:r w:rsidR="007126D2" w:rsidRPr="00725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наявні підстави, визначені статтею 17 Закону (крім пункту 13 частини першої статті 17 Закону).</w:t>
      </w:r>
    </w:p>
    <w:p w14:paraId="48ECBBDA" w14:textId="77777777" w:rsidR="007126D2" w:rsidRPr="00725FED" w:rsidRDefault="007126D2" w:rsidP="00725F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25F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725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725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725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725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725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 </w:t>
      </w:r>
    </w:p>
    <w:p w14:paraId="3CEF8651" w14:textId="77777777" w:rsidR="007126D2" w:rsidRPr="00725FED" w:rsidRDefault="007126D2" w:rsidP="00725FE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9888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65"/>
        <w:gridCol w:w="4621"/>
        <w:gridCol w:w="4502"/>
      </w:tblGrid>
      <w:tr w:rsidR="007126D2" w14:paraId="48D6C282" w14:textId="77777777" w:rsidTr="007126D2">
        <w:trPr>
          <w:trHeight w:val="1114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0AF63" w14:textId="77777777" w:rsidR="007126D2" w:rsidRDefault="007126D2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№</w:t>
            </w:r>
          </w:p>
          <w:p w14:paraId="51553A43" w14:textId="162D38F7" w:rsidR="007126D2" w:rsidRDefault="00CE38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п/п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8F940" w14:textId="4BC22897" w:rsidR="007126D2" w:rsidRDefault="00CE38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Вимоги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ст.17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 Закону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EEF14" w14:textId="24DEF414" w:rsidR="007126D2" w:rsidRDefault="00CE38D0" w:rsidP="00CE38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Підтвердження відсутності підстав, згідно вимог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ст.17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 Закону</w:t>
            </w:r>
          </w:p>
        </w:tc>
      </w:tr>
      <w:tr w:rsidR="007126D2" w:rsidRPr="006F3FE2" w14:paraId="63E8F4CE" w14:textId="77777777" w:rsidTr="007126D2">
        <w:trPr>
          <w:trHeight w:val="1723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F0D2CF" w14:textId="77777777" w:rsidR="007126D2" w:rsidRDefault="007126D2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44A62" w14:textId="3880EE96" w:rsidR="007126D2" w:rsidRDefault="007126D2" w:rsidP="00725FED">
            <w:pPr>
              <w:widowControl w:val="0"/>
              <w:spacing w:after="0" w:line="240" w:lineRule="auto"/>
              <w:ind w:left="-14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454DB43B" w14:textId="51080DB4" w:rsidR="00CE38D0" w:rsidRDefault="00CE38D0" w:rsidP="00725FED">
            <w:pPr>
              <w:widowControl w:val="0"/>
              <w:spacing w:after="0" w:line="240" w:lineRule="auto"/>
              <w:ind w:left="-14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D029D2A" w14:textId="2CFA6C95" w:rsidR="00CE38D0" w:rsidRDefault="00CE38D0" w:rsidP="00725FED">
            <w:pPr>
              <w:widowControl w:val="0"/>
              <w:spacing w:after="0" w:line="240" w:lineRule="auto"/>
              <w:ind w:left="-14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п.3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ст.17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Закону</w:t>
            </w:r>
          </w:p>
          <w:p w14:paraId="71365CC1" w14:textId="42E2D56E" w:rsidR="007126D2" w:rsidRDefault="007126D2" w:rsidP="00725FED">
            <w:pPr>
              <w:widowControl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4D913912" w14:textId="77777777" w:rsidR="007126D2" w:rsidRDefault="007126D2" w:rsidP="00725FED">
            <w:pPr>
              <w:widowControl w:val="0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747432D" w14:textId="77777777" w:rsidR="007126D2" w:rsidRPr="006F3FE2" w:rsidRDefault="007126D2" w:rsidP="00725FED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F3F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126D2" w14:paraId="69BAC9AC" w14:textId="77777777" w:rsidTr="007126D2">
        <w:trPr>
          <w:trHeight w:val="1440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E3C4E0" w14:textId="77777777" w:rsidR="007126D2" w:rsidRDefault="007126D2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14:paraId="4A071910" w14:textId="77777777" w:rsidR="00CE38D0" w:rsidRDefault="00CE38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36762353" w14:textId="77777777" w:rsidR="00CE38D0" w:rsidRDefault="00CE38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4A9A6FEA" w14:textId="77777777" w:rsidR="00CE38D0" w:rsidRDefault="00CE38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7E2F9A66" w14:textId="77777777" w:rsidR="00CE38D0" w:rsidRDefault="00CE38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472DCEBD" w14:textId="77777777" w:rsidR="00CE38D0" w:rsidRDefault="00CE38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7B22B740" w14:textId="77777777" w:rsidR="00CE38D0" w:rsidRDefault="00CE38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23F48B15" w14:textId="77777777" w:rsidR="00CE38D0" w:rsidRDefault="00CE38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45668CF2" w14:textId="77777777" w:rsidR="00CE38D0" w:rsidRDefault="00CE38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10F5BB53" w14:textId="77777777" w:rsidR="00F3120E" w:rsidRDefault="00F3120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6C99B982" w14:textId="46539E89" w:rsidR="00CE38D0" w:rsidRDefault="00CE38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  <w:p w14:paraId="7B046C68" w14:textId="0A39F5DC" w:rsidR="00CE38D0" w:rsidRDefault="00CE38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3BFCF5C" w14:textId="77777777" w:rsidR="007126D2" w:rsidRDefault="007126D2" w:rsidP="00CE38D0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14:paraId="5F0FD675" w14:textId="269DE949" w:rsidR="00CE38D0" w:rsidRDefault="00CE38D0" w:rsidP="00CE38D0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>п.5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>ст.17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Закону</w:t>
            </w:r>
          </w:p>
          <w:p w14:paraId="130B6B2A" w14:textId="77777777" w:rsidR="00CE38D0" w:rsidRDefault="00CE38D0" w:rsidP="00CE38D0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</w:pPr>
          </w:p>
          <w:p w14:paraId="58DAFDA2" w14:textId="0488BD0C" w:rsidR="007126D2" w:rsidRDefault="007126D2" w:rsidP="00CE38D0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lastRenderedPageBreak/>
              <w:t>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  <w:p w14:paraId="0CC92026" w14:textId="37FACE76" w:rsidR="00CE38D0" w:rsidRDefault="00CE38D0" w:rsidP="00CE38D0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п.6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ст.17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Закону</w:t>
            </w:r>
          </w:p>
          <w:p w14:paraId="64411E4B" w14:textId="7DA340A2" w:rsidR="007126D2" w:rsidRDefault="007126D2" w:rsidP="00CE38D0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E30EA" w14:textId="77777777" w:rsidR="00CE38D0" w:rsidRPr="006F3FE2" w:rsidRDefault="007126D2" w:rsidP="00C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F3F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6299006A" w14:textId="77777777" w:rsidR="00CE38D0" w:rsidRPr="006F3FE2" w:rsidRDefault="00CE38D0" w:rsidP="00C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31341969" w14:textId="11A784A9" w:rsidR="007126D2" w:rsidRPr="006F3FE2" w:rsidRDefault="007126D2" w:rsidP="00CE38D0">
            <w:pPr>
              <w:widowControl w:val="0"/>
              <w:spacing w:after="0" w:line="240" w:lineRule="auto"/>
              <w:rPr>
                <w:bCs/>
                <w:color w:val="000000" w:themeColor="text1"/>
                <w:lang w:val="uk-UA"/>
              </w:rPr>
            </w:pPr>
            <w:r w:rsidRPr="006F3F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hyperlink r:id="rId9" w:history="1">
              <w:r w:rsidRPr="006F3FE2">
                <w:rPr>
                  <w:rStyle w:val="af4"/>
                  <w:rFonts w:ascii="Times New Roman" w:hAnsi="Times New Roman" w:cs="Times New Roman"/>
                  <w:bCs/>
                  <w:i/>
                  <w:color w:val="000000" w:themeColor="text1"/>
                  <w:u w:val="none"/>
                  <w:lang w:val="uk-UA"/>
                </w:rPr>
                <w:t>https://vytiah.mvs.gov.ua/app/landing</w:t>
              </w:r>
            </w:hyperlink>
            <w:r w:rsidRPr="006F3FE2">
              <w:rPr>
                <w:rFonts w:ascii="Times New Roman" w:hAnsi="Times New Roman" w:cs="Times New Roman"/>
                <w:bCs/>
                <w:i/>
                <w:color w:val="000000" w:themeColor="text1"/>
                <w:lang w:val="uk-UA"/>
              </w:rPr>
              <w:t>)</w:t>
            </w:r>
          </w:p>
          <w:p w14:paraId="36BF95C8" w14:textId="77777777" w:rsidR="007126D2" w:rsidRPr="006F3FE2" w:rsidRDefault="007126D2" w:rsidP="00C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F3F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Документ повинен бути не більше </w:t>
            </w:r>
            <w:proofErr w:type="spellStart"/>
            <w:r w:rsidRPr="006F3F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6F3F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давнини від дати подання документа. </w:t>
            </w:r>
          </w:p>
          <w:p w14:paraId="6EE1DBD1" w14:textId="77777777" w:rsidR="007126D2" w:rsidRPr="006F3FE2" w:rsidRDefault="007126D2" w:rsidP="00CE38D0">
            <w:pPr>
              <w:widowControl w:val="0"/>
              <w:shd w:val="clear" w:color="auto" w:fill="FFFFFF"/>
              <w:spacing w:line="240" w:lineRule="auto"/>
              <w:ind w:right="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F3F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Витяг повинен містити реквізити для перевірки, зокрема </w:t>
            </w:r>
            <w:proofErr w:type="spellStart"/>
            <w:r w:rsidRPr="006F3F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QR</w:t>
            </w:r>
            <w:proofErr w:type="spellEnd"/>
            <w:r w:rsidRPr="006F3F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-код та/або номер та електронний підпис та/або печатку.</w:t>
            </w:r>
          </w:p>
        </w:tc>
      </w:tr>
      <w:tr w:rsidR="007126D2" w14:paraId="3A83BA67" w14:textId="77777777" w:rsidTr="007126D2">
        <w:trPr>
          <w:trHeight w:val="4355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7C94A" w14:textId="251CFCF3" w:rsidR="007126D2" w:rsidRDefault="00CE38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9A37913" w14:textId="77777777" w:rsidR="007126D2" w:rsidRDefault="00F3120E" w:rsidP="00CE38D0">
            <w:pPr>
              <w:widowControl w:val="0"/>
              <w:spacing w:after="0" w:line="240" w:lineRule="auto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лужбова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) особа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людьми</w:t>
            </w:r>
          </w:p>
          <w:p w14:paraId="6A5A7D93" w14:textId="1A8072AE" w:rsidR="00F3120E" w:rsidRPr="00F3120E" w:rsidRDefault="00F3120E" w:rsidP="00C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п.12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ч.1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ст.17</w:t>
            </w:r>
            <w:proofErr w:type="spellEnd"/>
            <w:r w:rsidRPr="00F3120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Закону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69F0" w14:textId="77777777" w:rsidR="007126D2" w:rsidRPr="006F3FE2" w:rsidRDefault="007126D2" w:rsidP="00CE38D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F3F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3B3CE77E" w14:textId="77777777" w:rsidR="007126D2" w:rsidRPr="006F3FE2" w:rsidRDefault="007126D2" w:rsidP="00CE38D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lang w:val="uk-UA"/>
              </w:rPr>
            </w:pPr>
            <w:r w:rsidRPr="006F3F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hyperlink r:id="rId10" w:history="1">
              <w:r w:rsidRPr="006F3FE2">
                <w:rPr>
                  <w:rStyle w:val="af4"/>
                  <w:rFonts w:ascii="Times New Roman" w:hAnsi="Times New Roman" w:cs="Times New Roman"/>
                  <w:bCs/>
                  <w:i/>
                  <w:color w:val="000000" w:themeColor="text1"/>
                  <w:u w:val="none"/>
                  <w:lang w:val="uk-UA"/>
                </w:rPr>
                <w:t>https://vytiah.mvs.gov.ua/app/landing</w:t>
              </w:r>
            </w:hyperlink>
            <w:r w:rsidRPr="006F3FE2">
              <w:rPr>
                <w:rFonts w:ascii="Times New Roman" w:hAnsi="Times New Roman" w:cs="Times New Roman"/>
                <w:bCs/>
                <w:i/>
                <w:color w:val="000000" w:themeColor="text1"/>
                <w:lang w:val="uk-UA"/>
              </w:rPr>
              <w:t>)</w:t>
            </w:r>
          </w:p>
          <w:p w14:paraId="2A89954E" w14:textId="77777777" w:rsidR="007126D2" w:rsidRPr="006F3FE2" w:rsidRDefault="007126D2" w:rsidP="00CE38D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F3F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Документ повинен бути не більше </w:t>
            </w:r>
            <w:proofErr w:type="spellStart"/>
            <w:r w:rsidRPr="006F3F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6F3F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давнини від дати подання документа. </w:t>
            </w:r>
          </w:p>
          <w:p w14:paraId="7B31A494" w14:textId="77777777" w:rsidR="007126D2" w:rsidRPr="006F3FE2" w:rsidRDefault="007126D2" w:rsidP="00CE38D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F3F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Витяг повинен містити реквізити для перевірки, зокрема </w:t>
            </w:r>
            <w:proofErr w:type="spellStart"/>
            <w:r w:rsidRPr="006F3F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QR</w:t>
            </w:r>
            <w:proofErr w:type="spellEnd"/>
            <w:r w:rsidRPr="006F3F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-код та/або номер та електронний підпис та/або печатку.</w:t>
            </w:r>
          </w:p>
        </w:tc>
      </w:tr>
      <w:tr w:rsidR="007126D2" w:rsidRPr="006F3FE2" w14:paraId="1741F0CA" w14:textId="77777777" w:rsidTr="007126D2">
        <w:trPr>
          <w:trHeight w:val="862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2C5FA" w14:textId="56C38443" w:rsidR="007126D2" w:rsidRDefault="00CE38D0" w:rsidP="00CE38D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C1E961" w14:textId="77777777" w:rsidR="007126D2" w:rsidRDefault="007126D2" w:rsidP="00CE38D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7922F4BE" w14:textId="7FF69627" w:rsidR="007126D2" w:rsidRPr="00F3120E" w:rsidRDefault="00F3120E" w:rsidP="00CE38D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ч.2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ст.17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Закону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41A4E" w14:textId="77777777" w:rsidR="007126D2" w:rsidRDefault="007126D2" w:rsidP="00CE38D0">
            <w:pPr>
              <w:widowControl w:val="0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12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Довідка в довільній формі,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14:paraId="57BF2FAD" w14:textId="77777777" w:rsidR="007126D2" w:rsidRDefault="007126D2" w:rsidP="006F3FE2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ab/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14:paraId="405792EE" w14:textId="77777777" w:rsidR="005644D0" w:rsidRDefault="007126D2" w:rsidP="005644D0">
      <w:pPr>
        <w:pStyle w:val="ad"/>
        <w:spacing w:before="100" w:after="100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4. </w:t>
      </w:r>
      <w:proofErr w:type="spellStart"/>
      <w:r>
        <w:rPr>
          <w:b/>
          <w:color w:val="000000" w:themeColor="text1"/>
        </w:rPr>
        <w:t>ПЕРЕЛІК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ДОКУМЕНТІВ</w:t>
      </w:r>
      <w:proofErr w:type="spellEnd"/>
      <w:r>
        <w:rPr>
          <w:b/>
          <w:color w:val="000000" w:themeColor="text1"/>
        </w:rPr>
        <w:t xml:space="preserve">, </w:t>
      </w:r>
    </w:p>
    <w:p w14:paraId="5741B1A8" w14:textId="6BC528D5" w:rsidR="007126D2" w:rsidRDefault="005644D0" w:rsidP="005644D0">
      <w:pPr>
        <w:pStyle w:val="ad"/>
        <w:spacing w:before="100" w:after="100"/>
        <w:contextualSpacing/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які вимагаються для підтвердження відповідності іншим вимогам замовника</w:t>
      </w:r>
    </w:p>
    <w:p w14:paraId="05BC6460" w14:textId="77777777" w:rsidR="006A4849" w:rsidRDefault="006A4849" w:rsidP="005644D0">
      <w:pPr>
        <w:pStyle w:val="ad"/>
        <w:spacing w:before="100" w:after="100"/>
        <w:contextualSpacing/>
        <w:jc w:val="center"/>
        <w:rPr>
          <w:b/>
          <w:color w:val="000000" w:themeColor="text1"/>
          <w:lang w:val="uk-UA"/>
        </w:rPr>
      </w:pPr>
    </w:p>
    <w:tbl>
      <w:tblPr>
        <w:tblW w:w="9852" w:type="dxa"/>
        <w:jc w:val="center"/>
        <w:tblLayout w:type="fixed"/>
        <w:tblLook w:val="01E0" w:firstRow="1" w:lastRow="1" w:firstColumn="1" w:lastColumn="1" w:noHBand="0" w:noVBand="0"/>
      </w:tblPr>
      <w:tblGrid>
        <w:gridCol w:w="496"/>
        <w:gridCol w:w="9356"/>
      </w:tblGrid>
      <w:tr w:rsidR="007126D2" w:rsidRPr="006F3FE2" w14:paraId="59382129" w14:textId="77777777" w:rsidTr="007126D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96A5A" w14:textId="77777777" w:rsidR="007126D2" w:rsidRDefault="007126D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7349" w14:textId="77777777" w:rsidR="00F237CD" w:rsidRDefault="007126D2" w:rsidP="00F237CD">
            <w:pPr>
              <w:pStyle w:val="10"/>
              <w:widowControl w:val="0"/>
              <w:spacing w:line="240" w:lineRule="auto"/>
              <w:ind w:left="34" w:right="113" w:hanging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64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Копію свідоцтва про реєстрацію платника </w:t>
            </w:r>
            <w:proofErr w:type="spellStart"/>
            <w:r w:rsidRPr="00564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ПДВ</w:t>
            </w:r>
            <w:proofErr w:type="spellEnd"/>
            <w:r w:rsidRPr="00564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або витягу з реєстру платників </w:t>
            </w:r>
            <w:proofErr w:type="spellStart"/>
            <w:r w:rsidRPr="00564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ПДВ</w:t>
            </w:r>
            <w:proofErr w:type="spellEnd"/>
            <w:r w:rsidRPr="00564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(якщо Учасник є платником </w:t>
            </w:r>
            <w:proofErr w:type="spellStart"/>
            <w:r w:rsidRPr="00564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ПДВ</w:t>
            </w:r>
            <w:proofErr w:type="spellEnd"/>
            <w:r w:rsidRPr="00564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 або платника єдиного податку (якщо Учасник є платником єдиного податку)</w:t>
            </w:r>
            <w:r w:rsidR="00F2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181BCE3" w14:textId="20BCFADB" w:rsidR="006A4849" w:rsidRPr="005644D0" w:rsidRDefault="006A4849" w:rsidP="00F237CD">
            <w:pPr>
              <w:pStyle w:val="10"/>
              <w:widowControl w:val="0"/>
              <w:spacing w:line="240" w:lineRule="auto"/>
              <w:ind w:left="34" w:right="113" w:hanging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126D2" w:rsidRPr="006F3FE2" w14:paraId="693EC662" w14:textId="77777777" w:rsidTr="007126D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13C9" w14:textId="77777777" w:rsidR="007126D2" w:rsidRDefault="007126D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378B8" w14:textId="77777777" w:rsidR="007126D2" w:rsidRDefault="007126D2" w:rsidP="00F237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64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Виписка (витяг/довідка) з Єдиного державного реєстру юридичних осіб та фізичних осіб-підприємців</w:t>
            </w:r>
            <w:r w:rsidR="00F2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564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62CCE374" w14:textId="7F83752F" w:rsidR="006A4849" w:rsidRPr="005644D0" w:rsidRDefault="006A4849" w:rsidP="00F237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126D2" w14:paraId="7F50F704" w14:textId="77777777" w:rsidTr="007126D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975D" w14:textId="77777777" w:rsidR="007126D2" w:rsidRDefault="007126D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2E5F9" w14:textId="77777777" w:rsidR="00F237CD" w:rsidRDefault="007126D2" w:rsidP="00F237CD">
            <w:pPr>
              <w:pStyle w:val="TableParagraph"/>
              <w:tabs>
                <w:tab w:val="left" w:pos="0"/>
                <w:tab w:val="left" w:pos="436"/>
              </w:tabs>
              <w:ind w:left="0" w:right="213"/>
              <w:jc w:val="left"/>
              <w:rPr>
                <w:color w:val="000000" w:themeColor="text1"/>
                <w:sz w:val="24"/>
                <w:szCs w:val="24"/>
              </w:rPr>
            </w:pPr>
            <w:r w:rsidRPr="005644D0">
              <w:rPr>
                <w:color w:val="000000" w:themeColor="text1"/>
                <w:sz w:val="24"/>
                <w:szCs w:val="24"/>
              </w:rPr>
              <w:t>Документи, що підтверджують повноваження особи підписувати тендерну пропозицію та завіряти копії усіх документів: протокол (витяг з протоколу) засновників, наказ про призначення, довіреність, доручення або інший документ, що підтверджує повноваження посадової особи учасника на підписання документів</w:t>
            </w:r>
            <w:r w:rsidR="00F237CD">
              <w:rPr>
                <w:color w:val="000000" w:themeColor="text1"/>
                <w:sz w:val="24"/>
                <w:szCs w:val="24"/>
              </w:rPr>
              <w:t>.</w:t>
            </w:r>
          </w:p>
          <w:p w14:paraId="43B484A1" w14:textId="5EAB135E" w:rsidR="006A4849" w:rsidRPr="005644D0" w:rsidRDefault="006A4849" w:rsidP="00F237CD">
            <w:pPr>
              <w:pStyle w:val="TableParagraph"/>
              <w:tabs>
                <w:tab w:val="left" w:pos="0"/>
                <w:tab w:val="left" w:pos="436"/>
              </w:tabs>
              <w:ind w:left="0" w:right="213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126D2" w14:paraId="6AC99A80" w14:textId="77777777" w:rsidTr="007126D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4F2F" w14:textId="77777777" w:rsidR="007126D2" w:rsidRDefault="007126D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DDCA6" w14:textId="77777777" w:rsidR="00F237CD" w:rsidRDefault="007126D2" w:rsidP="00F237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Гарантійний лист від Учасника наступного змісту:</w:t>
            </w:r>
            <w:r w:rsidRPr="00564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« Даним листом підтверджуємо,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закупівлю».</w:t>
            </w:r>
          </w:p>
          <w:p w14:paraId="78E7AC4A" w14:textId="440D5FB8" w:rsidR="006A4849" w:rsidRPr="005644D0" w:rsidRDefault="006A4849" w:rsidP="00F237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126D2" w14:paraId="4D3B02C1" w14:textId="77777777" w:rsidTr="007126D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91803" w14:textId="77777777" w:rsidR="007126D2" w:rsidRDefault="007126D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FA8D" w14:textId="24A6BF19" w:rsidR="007126D2" w:rsidRDefault="007126D2" w:rsidP="005644D0">
            <w:pPr>
              <w:pStyle w:val="TableParagraph"/>
              <w:tabs>
                <w:tab w:val="left" w:pos="0"/>
                <w:tab w:val="left" w:pos="436"/>
              </w:tabs>
              <w:ind w:left="0" w:right="5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644D0">
              <w:rPr>
                <w:bCs/>
                <w:color w:val="000000" w:themeColor="text1"/>
                <w:sz w:val="24"/>
                <w:szCs w:val="24"/>
              </w:rPr>
              <w:t xml:space="preserve">Гарантійний лист, складений в довільній формі, в якому учасник гарантує, що товар за предметом закупівлі, запропонований учасником у складі пропозиції, не ввезений та не буде ввезений на митну територію України в митному режимі імпорту товарів з російської федерації/республіки </w:t>
            </w:r>
            <w:proofErr w:type="spellStart"/>
            <w:r w:rsidRPr="005644D0">
              <w:rPr>
                <w:bCs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5644D0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2BFDE00D" w14:textId="77777777" w:rsidR="006A4849" w:rsidRDefault="006A4849" w:rsidP="005644D0">
            <w:pPr>
              <w:pStyle w:val="TableParagraph"/>
              <w:tabs>
                <w:tab w:val="left" w:pos="0"/>
                <w:tab w:val="left" w:pos="436"/>
              </w:tabs>
              <w:ind w:left="0" w:right="5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05AFA23" w14:textId="0F68798E" w:rsidR="00F237CD" w:rsidRPr="005644D0" w:rsidRDefault="00F237CD" w:rsidP="005644D0">
            <w:pPr>
              <w:pStyle w:val="TableParagraph"/>
              <w:tabs>
                <w:tab w:val="left" w:pos="0"/>
                <w:tab w:val="left" w:pos="436"/>
              </w:tabs>
              <w:ind w:left="0" w:right="5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126D2" w:rsidRPr="006F3FE2" w14:paraId="277CAAD1" w14:textId="77777777" w:rsidTr="00927A92">
        <w:trPr>
          <w:trHeight w:val="465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5917C" w14:textId="77777777" w:rsidR="007126D2" w:rsidRDefault="007126D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B270C" w14:textId="4F7662DF" w:rsidR="007126D2" w:rsidRPr="005644D0" w:rsidRDefault="007126D2" w:rsidP="005644D0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Гарантійний лист від Учасника наступного змісту: « Даним листом </w:t>
            </w:r>
            <w:r w:rsidRPr="00564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учасник </w:t>
            </w:r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(найменування)</w:t>
            </w:r>
            <w:r w:rsidRPr="00564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гарантує, що його керівник та інші службові (посадові) особи, які здійснюють повноваження щодо управління його діяльністю, не притягалися до відповідальності за вчинення корупційного правопорушення та/або не були засуджені за злочин, вчинений з корисливих мотивів, не перебувають у ділових відносинах, інших відносинах із іншими учасниками, які приймають участь у даній закупівлі (не є пов’язаними особами), а також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пов’язаних зі Сторонами, між якими укладається даний договір, працівниками і представниками Сторін.</w:t>
            </w:r>
          </w:p>
          <w:p w14:paraId="03E5F1DF" w14:textId="0E4E454C" w:rsidR="006A4849" w:rsidRPr="005644D0" w:rsidRDefault="005644D0" w:rsidP="006A4849">
            <w:pPr>
              <w:pStyle w:val="ae"/>
              <w:widowControl w:val="0"/>
              <w:ind w:left="0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</w:t>
            </w:r>
            <w:r w:rsidR="007126D2"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Учасник (найменування)</w:t>
            </w:r>
            <w:r w:rsidR="007126D2" w:rsidRPr="00564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також зобов’язується дотримуються вимог законодавства України у сфері запобігання і протидії корупції та Антикорупційної програми (Плану заходів з виконання антикорупційної програми) кожної Сторони (за наявності) та не вживає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корупції». </w:t>
            </w:r>
          </w:p>
        </w:tc>
      </w:tr>
      <w:tr w:rsidR="007126D2" w14:paraId="17EE6B38" w14:textId="77777777" w:rsidTr="007126D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1CD3E" w14:textId="77777777" w:rsidR="007126D2" w:rsidRDefault="007126D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1F91B" w14:textId="77777777" w:rsidR="00F237CD" w:rsidRDefault="007126D2" w:rsidP="00F237CD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Гарантійний лист, що учасник протягом останніх трьох років не притягувався до відповідальності за порушення, передбачене </w:t>
            </w:r>
            <w:proofErr w:type="spellStart"/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</w:t>
            </w:r>
            <w:r w:rsidR="00F237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  <w:proofErr w:type="spellEnd"/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ч</w:t>
            </w:r>
            <w:r w:rsidR="00F237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.2</w:t>
            </w:r>
            <w:proofErr w:type="spellEnd"/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ст</w:t>
            </w:r>
            <w:r w:rsidR="00F237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  <w:proofErr w:type="spellEnd"/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</w:t>
            </w:r>
            <w:r w:rsidR="00F237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  <w:proofErr w:type="spellEnd"/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ст</w:t>
            </w:r>
            <w:r w:rsidR="00F237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50</w:t>
            </w:r>
            <w:proofErr w:type="spellEnd"/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Закону України "Про захист економічної конкуренції", у вигляді вчинення </w:t>
            </w:r>
            <w:proofErr w:type="spellStart"/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антиконкурентних</w:t>
            </w:r>
            <w:proofErr w:type="spellEnd"/>
            <w:r w:rsidRPr="00564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узгоджених дій, що стосуються спотворення результатів тендерів, та не визнаний у встановленому законом порядку банкрутом та стосовно нього не відкрита ліквідаційна процедура.</w:t>
            </w:r>
          </w:p>
          <w:p w14:paraId="641BC200" w14:textId="0792FBC9" w:rsidR="006A4849" w:rsidRPr="005644D0" w:rsidRDefault="006A4849" w:rsidP="00F237CD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126D2" w:rsidRPr="006F3FE2" w14:paraId="3008BD5A" w14:textId="77777777" w:rsidTr="007126D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4086E" w14:textId="77777777" w:rsidR="007126D2" w:rsidRDefault="007126D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2992" w14:textId="77777777" w:rsidR="007126D2" w:rsidRPr="005644D0" w:rsidRDefault="007126D2" w:rsidP="005644D0">
            <w:pPr>
              <w:widowControl w:val="0"/>
              <w:spacing w:after="0" w:line="240" w:lineRule="auto"/>
              <w:ind w:right="120" w:hanging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64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564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4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564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4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власника, адреса його місця проживання та громадянство.</w:t>
            </w:r>
          </w:p>
          <w:p w14:paraId="328B9610" w14:textId="4D25402A" w:rsidR="007126D2" w:rsidRPr="005644D0" w:rsidRDefault="007126D2" w:rsidP="005644D0">
            <w:pPr>
              <w:pStyle w:val="TableParagraph"/>
              <w:tabs>
                <w:tab w:val="left" w:pos="0"/>
                <w:tab w:val="left" w:pos="436"/>
              </w:tabs>
              <w:ind w:left="0" w:right="213"/>
              <w:jc w:val="left"/>
              <w:rPr>
                <w:color w:val="000000" w:themeColor="text1"/>
                <w:sz w:val="24"/>
                <w:szCs w:val="24"/>
              </w:rPr>
            </w:pPr>
            <w:r w:rsidRPr="005644D0">
              <w:rPr>
                <w:color w:val="000000" w:themeColor="text1"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</w:t>
            </w:r>
            <w:r w:rsidRPr="005644D0">
              <w:rPr>
                <w:color w:val="000000" w:themeColor="text1"/>
                <w:sz w:val="24"/>
                <w:szCs w:val="24"/>
              </w:rPr>
              <w:lastRenderedPageBreak/>
              <w:t xml:space="preserve">громадських формувань, не функціонує. Інформація про кінцевого </w:t>
            </w:r>
            <w:proofErr w:type="spellStart"/>
            <w:r w:rsidRPr="005644D0">
              <w:rPr>
                <w:color w:val="000000" w:themeColor="text1"/>
                <w:sz w:val="24"/>
                <w:szCs w:val="24"/>
              </w:rPr>
              <w:t>бенефіціарного</w:t>
            </w:r>
            <w:proofErr w:type="spellEnd"/>
            <w:r w:rsidRPr="005644D0">
              <w:rPr>
                <w:color w:val="000000" w:themeColor="text1"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</w:t>
            </w:r>
            <w:proofErr w:type="spellStart"/>
            <w:r w:rsidRPr="005644D0">
              <w:rPr>
                <w:color w:val="000000" w:themeColor="text1"/>
                <w:sz w:val="24"/>
                <w:szCs w:val="24"/>
              </w:rPr>
              <w:t>п</w:t>
            </w:r>
            <w:r w:rsidR="00F237CD">
              <w:rPr>
                <w:color w:val="000000" w:themeColor="text1"/>
                <w:sz w:val="24"/>
                <w:szCs w:val="24"/>
              </w:rPr>
              <w:t>.</w:t>
            </w:r>
            <w:r w:rsidRPr="005644D0">
              <w:rPr>
                <w:color w:val="000000" w:themeColor="text1"/>
                <w:sz w:val="24"/>
                <w:szCs w:val="24"/>
              </w:rPr>
              <w:t>9</w:t>
            </w:r>
            <w:proofErr w:type="spellEnd"/>
            <w:r w:rsidRPr="005644D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44D0">
              <w:rPr>
                <w:color w:val="000000" w:themeColor="text1"/>
                <w:sz w:val="24"/>
                <w:szCs w:val="24"/>
              </w:rPr>
              <w:t>ч</w:t>
            </w:r>
            <w:r w:rsidR="00F237CD">
              <w:rPr>
                <w:color w:val="000000" w:themeColor="text1"/>
                <w:sz w:val="24"/>
                <w:szCs w:val="24"/>
              </w:rPr>
              <w:t>.</w:t>
            </w:r>
            <w:r w:rsidRPr="005644D0">
              <w:rPr>
                <w:color w:val="000000" w:themeColor="text1"/>
                <w:sz w:val="24"/>
                <w:szCs w:val="24"/>
              </w:rPr>
              <w:t>2</w:t>
            </w:r>
            <w:proofErr w:type="spellEnd"/>
            <w:r w:rsidRPr="005644D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44D0">
              <w:rPr>
                <w:color w:val="000000" w:themeColor="text1"/>
                <w:sz w:val="24"/>
                <w:szCs w:val="24"/>
              </w:rPr>
              <w:t>ст</w:t>
            </w:r>
            <w:r w:rsidR="00F237CD">
              <w:rPr>
                <w:color w:val="000000" w:themeColor="text1"/>
                <w:sz w:val="24"/>
                <w:szCs w:val="24"/>
              </w:rPr>
              <w:t>.</w:t>
            </w:r>
            <w:r w:rsidRPr="005644D0">
              <w:rPr>
                <w:color w:val="000000" w:themeColor="text1"/>
                <w:sz w:val="24"/>
                <w:szCs w:val="24"/>
              </w:rPr>
              <w:t>9</w:t>
            </w:r>
            <w:proofErr w:type="spellEnd"/>
            <w:r w:rsidRPr="005644D0">
              <w:rPr>
                <w:color w:val="000000" w:themeColor="text1"/>
                <w:sz w:val="24"/>
                <w:szCs w:val="24"/>
              </w:rPr>
              <w:t xml:space="preserve">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  <w:tr w:rsidR="00BD4E09" w:rsidRPr="00BD4E09" w14:paraId="3BED96DF" w14:textId="77777777" w:rsidTr="007126D2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6F33" w14:textId="24C1D044" w:rsidR="00BD4E09" w:rsidRDefault="00BD4E09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lastRenderedPageBreak/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2E9D" w14:textId="2D9CE71A" w:rsidR="00BD4E09" w:rsidRDefault="00BD4E09" w:rsidP="005644D0">
            <w:pPr>
              <w:widowControl w:val="0"/>
              <w:spacing w:after="0" w:line="240" w:lineRule="auto"/>
              <w:ind w:right="120" w:hanging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Цінова пропозиція</w:t>
            </w:r>
            <w:r w:rsidR="00523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лист-згода на обробку персональних даних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457BDD82" w14:textId="4106D4B0" w:rsidR="00BD4E09" w:rsidRPr="005644D0" w:rsidRDefault="00BD4E09" w:rsidP="005644D0">
            <w:pPr>
              <w:widowControl w:val="0"/>
              <w:spacing w:after="0" w:line="240" w:lineRule="auto"/>
              <w:ind w:right="120" w:hanging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Додаток 3</w:t>
            </w:r>
          </w:p>
        </w:tc>
      </w:tr>
    </w:tbl>
    <w:p w14:paraId="71A1F78F" w14:textId="77777777" w:rsidR="007126D2" w:rsidRDefault="007126D2" w:rsidP="007126D2">
      <w:pPr>
        <w:tabs>
          <w:tab w:val="left" w:pos="993"/>
        </w:tabs>
        <w:jc w:val="both"/>
        <w:rPr>
          <w:rFonts w:ascii="Times New Roman" w:hAnsi="Times New Roman" w:cs="Times New Roman"/>
          <w:b/>
          <w:iCs/>
          <w:color w:val="000000" w:themeColor="text1"/>
          <w:u w:val="single"/>
          <w:lang w:val="uk-UA"/>
        </w:rPr>
      </w:pPr>
    </w:p>
    <w:p w14:paraId="6375513A" w14:textId="77777777" w:rsidR="007126D2" w:rsidRDefault="007126D2" w:rsidP="007126D2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14:paraId="26BA0EEA" w14:textId="77777777" w:rsidR="007126D2" w:rsidRDefault="007126D2" w:rsidP="007126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ADAEF9D" w14:textId="77777777" w:rsidR="007126D2" w:rsidRDefault="007126D2" w:rsidP="007126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C273440" w14:textId="77777777" w:rsidR="007126D2" w:rsidRDefault="007126D2" w:rsidP="007126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70C4967" w14:textId="77777777" w:rsidR="007126D2" w:rsidRDefault="007126D2" w:rsidP="007126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68B934" w14:textId="77777777" w:rsidR="007126D2" w:rsidRDefault="007126D2" w:rsidP="007126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595CFFD" w14:textId="77777777" w:rsidR="007126D2" w:rsidRDefault="007126D2" w:rsidP="00712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sectPr w:rsidR="007126D2" w:rsidSect="00F237CD">
      <w:headerReference w:type="default" r:id="rId11"/>
      <w:footerReference w:type="default" r:id="rId12"/>
      <w:pgSz w:w="11906" w:h="16838"/>
      <w:pgMar w:top="851" w:right="851" w:bottom="851" w:left="1418" w:header="425" w:footer="22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BBF5" w14:textId="77777777" w:rsidR="008D470E" w:rsidRDefault="008D470E">
      <w:pPr>
        <w:spacing w:after="0" w:line="240" w:lineRule="auto"/>
      </w:pPr>
      <w:r>
        <w:separator/>
      </w:r>
    </w:p>
  </w:endnote>
  <w:endnote w:type="continuationSeparator" w:id="0">
    <w:p w14:paraId="02BCC31C" w14:textId="77777777" w:rsidR="008D470E" w:rsidRDefault="008D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928A" w14:textId="77777777" w:rsidR="00FD0291" w:rsidRDefault="00FD0291">
    <w:pPr>
      <w:tabs>
        <w:tab w:val="center" w:pos="4819"/>
        <w:tab w:val="right" w:pos="9639"/>
      </w:tabs>
      <w:jc w:val="center"/>
      <w:rPr>
        <w:rFonts w:ascii="Times New Roman" w:hAnsi="Times New Roman" w:cs="Times New Roman"/>
        <w:sz w:val="20"/>
        <w:szCs w:val="20"/>
        <w:lang w:eastAsia="en-US"/>
      </w:rPr>
    </w:pPr>
  </w:p>
  <w:p w14:paraId="7A189E8E" w14:textId="77777777" w:rsidR="00FD0291" w:rsidRDefault="00FD0291">
    <w:pPr>
      <w:tabs>
        <w:tab w:val="center" w:pos="4819"/>
        <w:tab w:val="right" w:pos="9639"/>
      </w:tabs>
      <w:rPr>
        <w:rFonts w:ascii="Times New Roman" w:hAnsi="Times New Roman" w:cs="Times New Roman"/>
        <w:sz w:val="20"/>
        <w:szCs w:val="20"/>
        <w:lang w:val="uk-U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48D1" w14:textId="77777777" w:rsidR="008D470E" w:rsidRDefault="008D470E">
      <w:pPr>
        <w:spacing w:after="0" w:line="240" w:lineRule="auto"/>
      </w:pPr>
      <w:r>
        <w:separator/>
      </w:r>
    </w:p>
  </w:footnote>
  <w:footnote w:type="continuationSeparator" w:id="0">
    <w:p w14:paraId="52CBADDC" w14:textId="77777777" w:rsidR="008D470E" w:rsidRDefault="008D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D742" w14:textId="77777777" w:rsidR="00FD0291" w:rsidRDefault="001C135E">
    <w:pPr>
      <w:pStyle w:val="af1"/>
      <w:tabs>
        <w:tab w:val="clear" w:pos="4819"/>
        <w:tab w:val="center" w:pos="9639"/>
      </w:tabs>
    </w:pPr>
    <w:r>
      <w:tab/>
      <w:t xml:space="preserve">         </w:t>
    </w:r>
  </w:p>
  <w:p w14:paraId="30BDC69C" w14:textId="77777777" w:rsidR="00FD0291" w:rsidRDefault="00FD029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3B0"/>
    <w:multiLevelType w:val="multilevel"/>
    <w:tmpl w:val="4E78A2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F50D3D"/>
    <w:multiLevelType w:val="hybridMultilevel"/>
    <w:tmpl w:val="D4E04ADC"/>
    <w:lvl w:ilvl="0" w:tplc="BCC44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B31DEC"/>
    <w:multiLevelType w:val="multilevel"/>
    <w:tmpl w:val="59428F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72851AB"/>
    <w:multiLevelType w:val="multilevel"/>
    <w:tmpl w:val="BE0C6C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26910AE"/>
    <w:multiLevelType w:val="hybridMultilevel"/>
    <w:tmpl w:val="D5EA0156"/>
    <w:lvl w:ilvl="0" w:tplc="CFE07312">
      <w:start w:val="3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847B93"/>
    <w:multiLevelType w:val="hybridMultilevel"/>
    <w:tmpl w:val="47F0598A"/>
    <w:lvl w:ilvl="0" w:tplc="D7682E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8F0267"/>
    <w:multiLevelType w:val="hybridMultilevel"/>
    <w:tmpl w:val="212C1752"/>
    <w:lvl w:ilvl="0" w:tplc="4EF80C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291"/>
    <w:rsid w:val="00010AB1"/>
    <w:rsid w:val="00011A10"/>
    <w:rsid w:val="00092DBF"/>
    <w:rsid w:val="001C135E"/>
    <w:rsid w:val="00255ECC"/>
    <w:rsid w:val="00444C14"/>
    <w:rsid w:val="00523094"/>
    <w:rsid w:val="005644D0"/>
    <w:rsid w:val="00592735"/>
    <w:rsid w:val="0066289D"/>
    <w:rsid w:val="006A4849"/>
    <w:rsid w:val="006F3FE2"/>
    <w:rsid w:val="007126D2"/>
    <w:rsid w:val="00725FED"/>
    <w:rsid w:val="007D4BA8"/>
    <w:rsid w:val="0088468E"/>
    <w:rsid w:val="008A1ED0"/>
    <w:rsid w:val="008D470E"/>
    <w:rsid w:val="009078A0"/>
    <w:rsid w:val="00924925"/>
    <w:rsid w:val="00927A92"/>
    <w:rsid w:val="00A03376"/>
    <w:rsid w:val="00AD5783"/>
    <w:rsid w:val="00AE72EA"/>
    <w:rsid w:val="00B51EB9"/>
    <w:rsid w:val="00BA6066"/>
    <w:rsid w:val="00BD4E09"/>
    <w:rsid w:val="00BD4E41"/>
    <w:rsid w:val="00C61692"/>
    <w:rsid w:val="00CE38D0"/>
    <w:rsid w:val="00CE4A74"/>
    <w:rsid w:val="00D3020B"/>
    <w:rsid w:val="00D4306A"/>
    <w:rsid w:val="00DA4421"/>
    <w:rsid w:val="00DB7478"/>
    <w:rsid w:val="00E30817"/>
    <w:rsid w:val="00E756D3"/>
    <w:rsid w:val="00EF05F7"/>
    <w:rsid w:val="00F237CD"/>
    <w:rsid w:val="00F3120E"/>
    <w:rsid w:val="00F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BA39"/>
  <w15:docId w15:val="{9AF10C78-DC76-495B-AF82-89A33664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a4">
    <w:name w:val="Верхній колонтитул Знак"/>
    <w:basedOn w:val="a0"/>
    <w:qFormat/>
    <w:rsid w:val="001B44A4"/>
  </w:style>
  <w:style w:type="character" w:customStyle="1" w:styleId="a5">
    <w:name w:val="Нижній колонтитул Знак"/>
    <w:basedOn w:val="a0"/>
    <w:uiPriority w:val="99"/>
    <w:qFormat/>
    <w:rsid w:val="001B44A4"/>
  </w:style>
  <w:style w:type="character" w:customStyle="1" w:styleId="a6">
    <w:name w:val="Текст у виносці Знак"/>
    <w:basedOn w:val="a0"/>
    <w:uiPriority w:val="99"/>
    <w:semiHidden/>
    <w:qFormat/>
    <w:rsid w:val="00810744"/>
    <w:rPr>
      <w:rFonts w:ascii="Segoe UI" w:hAnsi="Segoe UI" w:cs="Segoe UI"/>
      <w:sz w:val="18"/>
      <w:szCs w:val="18"/>
    </w:rPr>
  </w:style>
  <w:style w:type="character" w:customStyle="1" w:styleId="HTML">
    <w:name w:val="Стандартний HTML Знак"/>
    <w:basedOn w:val="a0"/>
    <w:qFormat/>
    <w:rsid w:val="00A400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Відвідане гіперпосилання"/>
    <w:basedOn w:val="a0"/>
    <w:uiPriority w:val="99"/>
    <w:semiHidden/>
    <w:unhideWhenUsed/>
    <w:rsid w:val="003D1F98"/>
    <w:rPr>
      <w:color w:val="954F72" w:themeColor="followedHyperlink"/>
      <w:u w:val="single"/>
    </w:rPr>
  </w:style>
  <w:style w:type="paragraph" w:styleId="a8">
    <w:name w:val="Title"/>
    <w:basedOn w:val="a"/>
    <w:next w:val="a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f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0">
    <w:name w:val="Верхній і нижній колонтитули"/>
    <w:basedOn w:val="a"/>
    <w:qFormat/>
  </w:style>
  <w:style w:type="paragraph" w:styleId="af1">
    <w:name w:val="header"/>
    <w:basedOn w:val="a"/>
    <w:unhideWhenUsed/>
    <w:rsid w:val="001B44A4"/>
    <w:pPr>
      <w:tabs>
        <w:tab w:val="center" w:pos="4819"/>
        <w:tab w:val="right" w:pos="9639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1B44A4"/>
    <w:pPr>
      <w:tabs>
        <w:tab w:val="center" w:pos="4819"/>
        <w:tab w:val="right" w:pos="9639"/>
      </w:tabs>
      <w:spacing w:after="0" w:line="240" w:lineRule="auto"/>
    </w:pPr>
  </w:style>
  <w:style w:type="paragraph" w:styleId="af3">
    <w:name w:val="Balloon Text"/>
    <w:basedOn w:val="a"/>
    <w:uiPriority w:val="99"/>
    <w:semiHidden/>
    <w:unhideWhenUsed/>
    <w:qFormat/>
    <w:rsid w:val="008107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0">
    <w:name w:val="HTML Preformatted"/>
    <w:basedOn w:val="a"/>
    <w:qFormat/>
    <w:rsid w:val="00A40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uiPriority w:val="99"/>
    <w:qFormat/>
    <w:rsid w:val="00A4000C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A4000C"/>
    <w:pPr>
      <w:widowControl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lang w:val="uk-UA" w:bidi="uk-U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basedOn w:val="a0"/>
    <w:uiPriority w:val="99"/>
    <w:semiHidden/>
    <w:unhideWhenUsed/>
    <w:rsid w:val="00BD4E41"/>
    <w:rPr>
      <w:color w:val="0563C1" w:themeColor="hyperlink"/>
      <w:u w:val="single"/>
    </w:rPr>
  </w:style>
  <w:style w:type="character" w:customStyle="1" w:styleId="rvts0">
    <w:name w:val="rvts0"/>
    <w:basedOn w:val="a0"/>
    <w:rsid w:val="007D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ytiah.mvs.gov.ua/app/land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vytiah.mvs.gov.ua/app/land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7A93B2-55C8-494D-8053-65E6FEC1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Ноутбук</cp:lastModifiedBy>
  <cp:revision>23</cp:revision>
  <cp:lastPrinted>2022-10-26T14:50:00Z</cp:lastPrinted>
  <dcterms:created xsi:type="dcterms:W3CDTF">2023-02-09T14:34:00Z</dcterms:created>
  <dcterms:modified xsi:type="dcterms:W3CDTF">2023-02-21T10:29:00Z</dcterms:modified>
  <dc:language>uk-UA</dc:language>
</cp:coreProperties>
</file>