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6" w:rsidRPr="003D259E" w:rsidRDefault="00176C46" w:rsidP="00176C46">
      <w:pPr>
        <w:jc w:val="right"/>
        <w:rPr>
          <w:b/>
          <w:color w:val="auto"/>
          <w:sz w:val="22"/>
          <w:szCs w:val="22"/>
        </w:rPr>
      </w:pPr>
      <w:r w:rsidRPr="003D259E">
        <w:rPr>
          <w:b/>
          <w:color w:val="auto"/>
          <w:sz w:val="22"/>
          <w:szCs w:val="22"/>
        </w:rPr>
        <w:t>ДОДАТОК №2</w:t>
      </w:r>
    </w:p>
    <w:p w:rsidR="00176C46" w:rsidRPr="003D259E" w:rsidRDefault="00176C46" w:rsidP="00176C46">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176C46" w:rsidRPr="000978AD" w:rsidRDefault="00176C46" w:rsidP="00176C46">
      <w:pPr>
        <w:jc w:val="center"/>
        <w:rPr>
          <w:color w:val="auto"/>
        </w:rPr>
      </w:pPr>
      <w:r w:rsidRPr="000978AD">
        <w:rPr>
          <w:b/>
          <w:bCs/>
          <w:i/>
          <w:iCs/>
          <w:color w:val="auto"/>
          <w:shd w:val="clear" w:color="auto" w:fill="FFFFFF"/>
        </w:rPr>
        <w:t>ТЕХНІЧНА СПЕЦИФІКАЦІЯ</w:t>
      </w:r>
    </w:p>
    <w:p w:rsidR="00176C46" w:rsidRPr="000978AD" w:rsidRDefault="00176C46" w:rsidP="00176C46">
      <w:pPr>
        <w:jc w:val="center"/>
        <w:rPr>
          <w:b/>
          <w:bCs/>
          <w:i/>
          <w:iCs/>
          <w:color w:val="auto"/>
          <w:shd w:val="clear" w:color="auto" w:fill="FFFFFF"/>
        </w:rPr>
      </w:pPr>
      <w:r w:rsidRPr="000978AD">
        <w:rPr>
          <w:b/>
          <w:bCs/>
          <w:i/>
          <w:iCs/>
          <w:color w:val="auto"/>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664518" w:rsidRDefault="0092539D" w:rsidP="0092539D">
      <w:pPr>
        <w:pStyle w:val="a3"/>
        <w:widowControl w:val="0"/>
        <w:jc w:val="both"/>
        <w:rPr>
          <w:b/>
          <w:i/>
          <w:color w:val="auto"/>
          <w:sz w:val="22"/>
          <w:szCs w:val="22"/>
          <w:u w:val="single"/>
          <w:lang w:val="uk-UA"/>
        </w:rPr>
      </w:pPr>
      <w:r w:rsidRPr="0092539D">
        <w:rPr>
          <w:b/>
          <w:i/>
          <w:color w:val="auto"/>
          <w:sz w:val="22"/>
          <w:szCs w:val="22"/>
          <w:u w:val="single"/>
          <w:lang w:val="uk-UA"/>
        </w:rPr>
        <w:t>код 03140000-4 «Продукція тваринництва та супутня продукція» Єдиний закупівельний словник ДК 021:2015(Яйця курячі 1 ґатунку)</w:t>
      </w:r>
    </w:p>
    <w:p w:rsidR="00176C46" w:rsidRPr="000978AD" w:rsidRDefault="00664518" w:rsidP="00282702">
      <w:pPr>
        <w:pStyle w:val="a3"/>
        <w:widowControl w:val="0"/>
        <w:tabs>
          <w:tab w:val="left" w:pos="8640"/>
        </w:tabs>
        <w:spacing w:before="0" w:beforeAutospacing="0" w:after="0" w:afterAutospacing="0"/>
        <w:jc w:val="both"/>
        <w:rPr>
          <w:b/>
          <w:color w:val="auto"/>
          <w:lang w:val="uk-UA"/>
        </w:rPr>
      </w:pPr>
      <w:r w:rsidRPr="00282702">
        <w:rPr>
          <w:b/>
          <w:i/>
          <w:color w:val="auto"/>
          <w:sz w:val="22"/>
          <w:szCs w:val="22"/>
          <w:lang w:val="uk-UA"/>
        </w:rPr>
        <w:t xml:space="preserve">                                                                          </w:t>
      </w:r>
      <w:r w:rsidR="00176C46" w:rsidRPr="000978AD">
        <w:rPr>
          <w:b/>
          <w:color w:val="auto"/>
          <w:lang w:val="uk-UA"/>
        </w:rPr>
        <w:t>Загальні вимоги:</w:t>
      </w:r>
      <w:r w:rsidR="00282702">
        <w:rPr>
          <w:b/>
          <w:color w:val="auto"/>
          <w:lang w:val="uk-UA"/>
        </w:rPr>
        <w:tab/>
      </w:r>
    </w:p>
    <w:p w:rsidR="00176C46" w:rsidRPr="000978AD" w:rsidRDefault="00176C46" w:rsidP="00176C46">
      <w:pPr>
        <w:jc w:val="both"/>
        <w:rPr>
          <w:color w:val="auto"/>
        </w:rPr>
      </w:pPr>
      <w:r w:rsidRPr="000978AD">
        <w:rPr>
          <w:color w:val="auto"/>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w:t>
      </w:r>
      <w:r>
        <w:rPr>
          <w:color w:val="auto"/>
        </w:rPr>
        <w:t xml:space="preserve"> </w:t>
      </w:r>
      <w:r w:rsidRPr="000978AD">
        <w:rPr>
          <w:color w:val="auto"/>
        </w:rPr>
        <w:t>вимогам до предмету закупівлі, встановленим у даному додатку та всіх інших вимог Тендерної Документації.</w:t>
      </w:r>
    </w:p>
    <w:p w:rsidR="00176C46" w:rsidRPr="000978AD" w:rsidRDefault="00176C46" w:rsidP="00176C46">
      <w:pPr>
        <w:ind w:firstLine="708"/>
        <w:jc w:val="both"/>
        <w:rPr>
          <w:i/>
          <w:color w:val="auto"/>
        </w:rPr>
      </w:pPr>
      <w:r w:rsidRPr="000978AD">
        <w:rPr>
          <w:i/>
          <w:color w:val="auto"/>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rsidR="00176C46" w:rsidRPr="000978AD" w:rsidRDefault="00176C46" w:rsidP="00176C46">
      <w:pPr>
        <w:jc w:val="both"/>
        <w:rPr>
          <w:color w:val="auto"/>
        </w:rPr>
      </w:pPr>
      <w:r w:rsidRPr="000978AD">
        <w:rPr>
          <w:color w:val="auto"/>
        </w:rPr>
        <w:t xml:space="preserve">2. Товар, запропонований Учасником, за своїми якісними характеристиками повинен відповідати національним стандартам </w:t>
      </w:r>
      <w:r w:rsidR="0092539D" w:rsidRPr="0092539D">
        <w:rPr>
          <w:color w:val="auto"/>
          <w:lang w:val="ru-RU"/>
        </w:rPr>
        <w:t>(</w:t>
      </w:r>
      <w:r w:rsidR="0092539D" w:rsidRPr="0092539D">
        <w:rPr>
          <w:b/>
          <w:bCs/>
          <w:color w:val="auto"/>
          <w:lang w:val="ru-RU"/>
        </w:rPr>
        <w:t xml:space="preserve">Яйця курячі 1 ґатунку, </w:t>
      </w:r>
      <w:r w:rsidR="0092539D" w:rsidRPr="0092539D">
        <w:rPr>
          <w:bCs/>
          <w:color w:val="auto"/>
          <w:lang w:val="ru-RU"/>
        </w:rPr>
        <w:t>відповідно ДСТУ 5028:2008 «Яйця курячі харчові. Технічні умови».)</w:t>
      </w:r>
      <w:r w:rsidR="0092539D" w:rsidRPr="0092539D">
        <w:rPr>
          <w:color w:val="auto"/>
          <w:lang w:val="ru-RU"/>
        </w:rPr>
        <w:t xml:space="preserve">, </w:t>
      </w:r>
      <w:r w:rsidRPr="000978AD">
        <w:rPr>
          <w:color w:val="auto"/>
        </w:rPr>
        <w:t>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176C46" w:rsidRPr="000978AD" w:rsidRDefault="00176C46" w:rsidP="00176C46">
      <w:pPr>
        <w:jc w:val="both"/>
        <w:rPr>
          <w:color w:val="auto"/>
        </w:rPr>
      </w:pPr>
      <w:r w:rsidRPr="000978AD">
        <w:rPr>
          <w:color w:val="auto"/>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76C46" w:rsidRPr="000978AD" w:rsidRDefault="00176C46" w:rsidP="00176C46">
      <w:pPr>
        <w:jc w:val="both"/>
        <w:rPr>
          <w:b/>
          <w:color w:val="auto"/>
          <w:u w:val="single"/>
        </w:rPr>
      </w:pPr>
      <w:r w:rsidRPr="000978AD">
        <w:rPr>
          <w:color w:val="auto"/>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176C46" w:rsidRDefault="00176C46" w:rsidP="00176C46">
      <w:pPr>
        <w:jc w:val="both"/>
        <w:rPr>
          <w:color w:val="auto"/>
        </w:rPr>
      </w:pPr>
      <w:r w:rsidRPr="000978AD">
        <w:rPr>
          <w:color w:val="auto"/>
        </w:rPr>
        <w:t xml:space="preserve">3. Транспортування: Доставка Товару повинна проводитися автотранспортом згідно з правилами перевезення даних продуктів </w:t>
      </w:r>
      <w:r w:rsidR="0092539D" w:rsidRPr="0092539D">
        <w:rPr>
          <w:color w:val="auto"/>
          <w:lang w:val="ru-RU"/>
        </w:rPr>
        <w:t>(</w:t>
      </w:r>
      <w:r w:rsidR="0092539D" w:rsidRPr="0092539D">
        <w:rPr>
          <w:b/>
          <w:bCs/>
          <w:color w:val="auto"/>
          <w:lang w:val="ru-RU"/>
        </w:rPr>
        <w:t xml:space="preserve">Яйця курячі 1 ґатунку, </w:t>
      </w:r>
      <w:r w:rsidR="0092539D" w:rsidRPr="0092539D">
        <w:rPr>
          <w:bCs/>
          <w:color w:val="auto"/>
          <w:lang w:val="ru-RU"/>
        </w:rPr>
        <w:t>відповідно ДСТУ 5028:2008 «Яйця курячі харчові. Технічні умови».)</w:t>
      </w:r>
      <w:r w:rsidR="0092539D">
        <w:rPr>
          <w:color w:val="auto"/>
          <w:lang w:val="ru-RU"/>
        </w:rPr>
        <w:t>.</w:t>
      </w:r>
      <w:r w:rsidRPr="000978AD">
        <w:rPr>
          <w:color w:val="auto"/>
        </w:rPr>
        <w:t xml:space="preserve"> </w:t>
      </w:r>
      <w:r w:rsidRPr="00662238">
        <w:rPr>
          <w:color w:val="auto"/>
        </w:rPr>
        <w:t xml:space="preserve">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w:t>
      </w:r>
    </w:p>
    <w:p w:rsidR="00176C46" w:rsidRPr="000978AD" w:rsidRDefault="00176C46" w:rsidP="00176C46">
      <w:pPr>
        <w:jc w:val="both"/>
        <w:rPr>
          <w:color w:val="auto"/>
        </w:rPr>
      </w:pPr>
      <w:r w:rsidRPr="000978AD">
        <w:rPr>
          <w:color w:val="auto"/>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r>
        <w:rPr>
          <w:color w:val="auto"/>
        </w:rPr>
        <w:t xml:space="preserve"> та</w:t>
      </w:r>
      <w:r w:rsidRPr="00662238">
        <w:rPr>
          <w:color w:val="auto"/>
        </w:rPr>
        <w:t xml:space="preserve"> відповідати санітарно-гігієнічним нормам.</w:t>
      </w:r>
    </w:p>
    <w:p w:rsidR="00176C46" w:rsidRPr="000978AD" w:rsidRDefault="00176C46" w:rsidP="00176C46">
      <w:pPr>
        <w:jc w:val="both"/>
        <w:rPr>
          <w:color w:val="auto"/>
        </w:rPr>
      </w:pPr>
      <w:r w:rsidRPr="000978AD">
        <w:rPr>
          <w:color w:val="auto"/>
        </w:rPr>
        <w:t xml:space="preserve">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w:t>
      </w:r>
      <w:r w:rsidRPr="000978AD">
        <w:rPr>
          <w:color w:val="auto"/>
          <w:lang w:val="ru-RU"/>
        </w:rPr>
        <w:t>8</w:t>
      </w:r>
      <w:r w:rsidRPr="000978AD">
        <w:rPr>
          <w:color w:val="auto"/>
        </w:rPr>
        <w:t>0 % від загального строку придатності.</w:t>
      </w:r>
    </w:p>
    <w:p w:rsidR="00176C46" w:rsidRPr="000978AD" w:rsidRDefault="00176C46" w:rsidP="00176C46">
      <w:pPr>
        <w:jc w:val="both"/>
        <w:rPr>
          <w:color w:val="auto"/>
        </w:rPr>
      </w:pPr>
      <w:r w:rsidRPr="000978AD">
        <w:rPr>
          <w:color w:val="auto"/>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176C46" w:rsidRPr="000978AD" w:rsidRDefault="00176C46" w:rsidP="00176C46">
      <w:pPr>
        <w:jc w:val="both"/>
        <w:rPr>
          <w:color w:val="auto"/>
        </w:rPr>
      </w:pPr>
      <w:r w:rsidRPr="000978AD">
        <w:rPr>
          <w:color w:val="auto"/>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176C46" w:rsidRPr="000978AD" w:rsidRDefault="00176C46" w:rsidP="00176C46">
      <w:pPr>
        <w:jc w:val="both"/>
        <w:rPr>
          <w:color w:val="auto"/>
        </w:rPr>
      </w:pPr>
      <w:r w:rsidRPr="000978AD">
        <w:rPr>
          <w:color w:val="auto"/>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rsidR="00176C46" w:rsidRPr="000978AD" w:rsidRDefault="00176C46" w:rsidP="00176C46">
      <w:pPr>
        <w:jc w:val="both"/>
        <w:rPr>
          <w:color w:val="auto"/>
        </w:rPr>
      </w:pPr>
      <w:r w:rsidRPr="000978AD">
        <w:rPr>
          <w:color w:val="auto"/>
        </w:rPr>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176C46" w:rsidRPr="000978AD" w:rsidRDefault="00176C46" w:rsidP="00176C46">
      <w:pPr>
        <w:jc w:val="both"/>
        <w:rPr>
          <w:color w:val="auto"/>
        </w:rPr>
      </w:pPr>
      <w:r w:rsidRPr="000978AD">
        <w:rPr>
          <w:color w:val="auto"/>
        </w:rPr>
        <w:lastRenderedPageBreak/>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176C46" w:rsidRDefault="00176C46" w:rsidP="00176C46">
      <w:pPr>
        <w:pStyle w:val="a3"/>
        <w:widowControl w:val="0"/>
        <w:jc w:val="both"/>
        <w:rPr>
          <w:i/>
          <w:color w:val="auto"/>
          <w:lang w:val="uk-UA"/>
        </w:rPr>
      </w:pPr>
      <w:r w:rsidRPr="000978AD">
        <w:rPr>
          <w:color w:val="auto"/>
          <w:lang w:val="uk-UA"/>
        </w:rPr>
        <w:tab/>
      </w:r>
      <w:r w:rsidRPr="000978AD">
        <w:rPr>
          <w:i/>
          <w:color w:val="auto"/>
          <w:lang w:val="uk-UA"/>
        </w:rPr>
        <w:t>На підтвердження Учасник повинен надати лист в довільній формі щодо відповідності вимогам, вказаним у вищевказаних пунктах.</w:t>
      </w:r>
    </w:p>
    <w:p w:rsidR="00176C46" w:rsidRPr="000978AD" w:rsidRDefault="00176C46" w:rsidP="00176C46">
      <w:pPr>
        <w:pStyle w:val="a3"/>
        <w:widowControl w:val="0"/>
        <w:jc w:val="both"/>
        <w:rPr>
          <w:color w:val="auto"/>
        </w:rPr>
      </w:pPr>
      <w:r>
        <w:rPr>
          <w:i/>
          <w:color w:val="auto"/>
          <w:lang w:val="uk-UA"/>
        </w:rPr>
        <w:t xml:space="preserve">                                                                         </w:t>
      </w:r>
      <w:r w:rsidRPr="000978AD">
        <w:rPr>
          <w:b/>
          <w:color w:val="auto"/>
          <w:lang w:val="uk-UA"/>
        </w:rPr>
        <w:t xml:space="preserve">Таблиця </w:t>
      </w:r>
      <w:r>
        <w:rPr>
          <w:b/>
          <w:color w:val="auto"/>
          <w:lang w:val="uk-UA"/>
        </w:rPr>
        <w:t>№</w:t>
      </w:r>
      <w:r w:rsidRPr="000978AD">
        <w:rPr>
          <w:b/>
          <w:color w:val="auto"/>
          <w:lang w:val="uk-UA"/>
        </w:rPr>
        <w:t>1</w:t>
      </w:r>
      <w:r>
        <w:rPr>
          <w:b/>
          <w:color w:val="auto"/>
          <w:lang w:val="uk-UA"/>
        </w:rPr>
        <w:t xml:space="preserve">  </w:t>
      </w:r>
      <w:r w:rsidRPr="000978AD">
        <w:rPr>
          <w:b/>
          <w:color w:val="auto"/>
          <w:lang w:val="uk-UA"/>
        </w:rPr>
        <w:t>Номенклатура та обсяги закупівлі</w:t>
      </w:r>
    </w:p>
    <w:tbl>
      <w:tblPr>
        <w:tblW w:w="1022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3"/>
        <w:gridCol w:w="2768"/>
        <w:gridCol w:w="4820"/>
        <w:gridCol w:w="1047"/>
        <w:gridCol w:w="1097"/>
      </w:tblGrid>
      <w:tr w:rsidR="00176C46" w:rsidRPr="000978AD" w:rsidTr="00061243">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lang w:eastAsia="en-US"/>
              </w:rPr>
            </w:pPr>
            <w:r w:rsidRPr="000978AD">
              <w:rPr>
                <w:b/>
                <w:bCs/>
                <w:color w:val="auto"/>
                <w:lang w:eastAsia="en-US"/>
              </w:rPr>
              <w:t xml:space="preserve">№ </w:t>
            </w:r>
          </w:p>
        </w:tc>
        <w:tc>
          <w:tcPr>
            <w:tcW w:w="2768" w:type="dxa"/>
            <w:tcBorders>
              <w:top w:val="single" w:sz="8" w:space="0" w:color="auto"/>
              <w:left w:val="single" w:sz="6" w:space="0" w:color="auto"/>
              <w:bottom w:val="single" w:sz="6" w:space="0" w:color="auto"/>
              <w:right w:val="single" w:sz="6" w:space="0" w:color="auto"/>
            </w:tcBorders>
          </w:tcPr>
          <w:p w:rsidR="00176C46" w:rsidRPr="000978AD" w:rsidRDefault="00176C46" w:rsidP="00B709AB">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ДК 021:2015</w:t>
            </w:r>
          </w:p>
        </w:tc>
        <w:tc>
          <w:tcPr>
            <w:tcW w:w="4820"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176C46" w:rsidRPr="000978AD" w:rsidRDefault="00176C46" w:rsidP="00B709AB">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Конкретна назва предмета закупівлі</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lang w:eastAsia="en-US"/>
              </w:rPr>
            </w:pPr>
            <w:r w:rsidRPr="000978AD">
              <w:rPr>
                <w:b/>
                <w:bCs/>
                <w:color w:val="auto"/>
                <w:lang w:eastAsia="en-US"/>
              </w:rPr>
              <w:t>Одиниці виміру</w:t>
            </w:r>
          </w:p>
        </w:tc>
        <w:tc>
          <w:tcPr>
            <w:tcW w:w="1097" w:type="dxa"/>
            <w:tcBorders>
              <w:top w:val="single" w:sz="8" w:space="0" w:color="auto"/>
              <w:left w:val="single" w:sz="6" w:space="0" w:color="auto"/>
              <w:bottom w:val="single" w:sz="6" w:space="0" w:color="auto"/>
              <w:right w:val="single" w:sz="8" w:space="0" w:color="auto"/>
            </w:tcBorders>
            <w:hideMark/>
          </w:tcPr>
          <w:p w:rsidR="00176C46" w:rsidRPr="000978AD" w:rsidRDefault="00176C46" w:rsidP="00B709AB">
            <w:pPr>
              <w:ind w:firstLine="5"/>
              <w:jc w:val="center"/>
              <w:rPr>
                <w:b/>
                <w:bCs/>
                <w:color w:val="auto"/>
                <w:lang w:eastAsia="en-US"/>
              </w:rPr>
            </w:pPr>
            <w:r w:rsidRPr="000978AD">
              <w:rPr>
                <w:b/>
                <w:color w:val="auto"/>
                <w:lang w:eastAsia="en-US"/>
              </w:rPr>
              <w:t>Кількість</w:t>
            </w:r>
          </w:p>
        </w:tc>
      </w:tr>
      <w:tr w:rsidR="0092539D" w:rsidRPr="000978AD" w:rsidTr="0052558F">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92539D" w:rsidRPr="000978AD" w:rsidRDefault="0092539D" w:rsidP="0092539D">
            <w:pPr>
              <w:pStyle w:val="a5"/>
              <w:numPr>
                <w:ilvl w:val="0"/>
                <w:numId w:val="5"/>
              </w:numPr>
              <w:ind w:left="527" w:hanging="357"/>
              <w:jc w:val="center"/>
              <w:rPr>
                <w:rFonts w:ascii="Times New Roman" w:hAnsi="Times New Roman"/>
                <w:bCs/>
                <w:color w:val="auto"/>
                <w:szCs w:val="24"/>
              </w:rPr>
            </w:pPr>
          </w:p>
        </w:tc>
        <w:tc>
          <w:tcPr>
            <w:tcW w:w="2768" w:type="dxa"/>
            <w:tcBorders>
              <w:top w:val="single" w:sz="8" w:space="0" w:color="auto"/>
              <w:left w:val="single" w:sz="6" w:space="0" w:color="auto"/>
              <w:bottom w:val="single" w:sz="6" w:space="0" w:color="auto"/>
              <w:right w:val="single" w:sz="6" w:space="0" w:color="auto"/>
            </w:tcBorders>
          </w:tcPr>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b w:val="0"/>
                <w:sz w:val="24"/>
                <w:szCs w:val="24"/>
              </w:rPr>
            </w:pPr>
            <w:r w:rsidRPr="005B217D">
              <w:rPr>
                <w:rFonts w:ascii="Times New Roman" w:hAnsi="Times New Roman" w:cs="Times New Roman"/>
                <w:b w:val="0"/>
                <w:sz w:val="24"/>
                <w:szCs w:val="24"/>
              </w:rPr>
              <w:t>03142500-3 Яйця</w:t>
            </w:r>
          </w:p>
        </w:tc>
        <w:tc>
          <w:tcPr>
            <w:tcW w:w="4820"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b w:val="0"/>
                <w:sz w:val="24"/>
                <w:szCs w:val="24"/>
              </w:rPr>
            </w:pPr>
            <w:r w:rsidRPr="005B217D">
              <w:rPr>
                <w:rFonts w:ascii="Times New Roman" w:hAnsi="Times New Roman" w:cs="Times New Roman"/>
                <w:b w:val="0"/>
                <w:sz w:val="24"/>
                <w:szCs w:val="24"/>
              </w:rPr>
              <w:t>Яйця курячі 1 ґатунку</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92539D" w:rsidRPr="005B217D" w:rsidRDefault="0092539D" w:rsidP="0092539D">
            <w:pPr>
              <w:contextualSpacing/>
              <w:jc w:val="center"/>
            </w:pPr>
            <w:r w:rsidRPr="005B217D">
              <w:t>шт</w:t>
            </w:r>
          </w:p>
        </w:tc>
        <w:tc>
          <w:tcPr>
            <w:tcW w:w="1097" w:type="dxa"/>
            <w:tcBorders>
              <w:right w:val="single" w:sz="4" w:space="0" w:color="auto"/>
            </w:tcBorders>
            <w:vAlign w:val="bottom"/>
          </w:tcPr>
          <w:p w:rsidR="0092539D" w:rsidRPr="005B217D" w:rsidRDefault="0092539D" w:rsidP="0092539D">
            <w:pPr>
              <w:contextualSpacing/>
              <w:jc w:val="center"/>
            </w:pPr>
            <w:r>
              <w:t>7560</w:t>
            </w:r>
            <w:r w:rsidRPr="005B217D">
              <w:t>,00</w:t>
            </w:r>
          </w:p>
        </w:tc>
      </w:tr>
    </w:tbl>
    <w:p w:rsidR="00176C46" w:rsidRPr="000978AD" w:rsidRDefault="00176C46" w:rsidP="00176C46">
      <w:pPr>
        <w:rPr>
          <w:b/>
          <w:color w:val="auto"/>
          <w:lang w:val="ru-RU"/>
        </w:rPr>
      </w:pPr>
      <w:r>
        <w:rPr>
          <w:b/>
          <w:color w:val="auto"/>
          <w:lang w:val="ru-RU"/>
        </w:rPr>
        <w:t xml:space="preserve">                                                                         </w:t>
      </w:r>
      <w:r w:rsidRPr="000978AD">
        <w:rPr>
          <w:b/>
          <w:color w:val="auto"/>
          <w:lang w:val="ru-RU"/>
        </w:rPr>
        <w:t>Таблиця</w:t>
      </w:r>
      <w:r>
        <w:rPr>
          <w:b/>
          <w:color w:val="auto"/>
          <w:lang w:val="ru-RU"/>
        </w:rPr>
        <w:t>№</w:t>
      </w:r>
      <w:r w:rsidRPr="000978AD">
        <w:rPr>
          <w:b/>
          <w:color w:val="auto"/>
          <w:lang w:val="ru-RU"/>
        </w:rPr>
        <w:t xml:space="preserve"> 2</w:t>
      </w:r>
      <w:r>
        <w:rPr>
          <w:b/>
          <w:color w:val="auto"/>
          <w:lang w:val="ru-RU"/>
        </w:rPr>
        <w:t xml:space="preserve"> </w:t>
      </w:r>
      <w:r w:rsidRPr="000978AD">
        <w:rPr>
          <w:b/>
          <w:color w:val="auto"/>
          <w:lang w:val="ru-RU"/>
        </w:rPr>
        <w:t>Технічні</w:t>
      </w:r>
      <w:r>
        <w:rPr>
          <w:b/>
          <w:color w:val="auto"/>
          <w:lang w:val="ru-RU"/>
        </w:rPr>
        <w:t xml:space="preserve"> </w:t>
      </w:r>
      <w:r w:rsidRPr="000978AD">
        <w:rPr>
          <w:b/>
          <w:color w:val="auto"/>
          <w:lang w:val="ru-RU"/>
        </w:rPr>
        <w:t>вимоги</w:t>
      </w:r>
      <w:r>
        <w:rPr>
          <w:b/>
          <w:color w:val="auto"/>
          <w:lang w:val="ru-RU"/>
        </w:rPr>
        <w:t xml:space="preserve"> </w:t>
      </w:r>
      <w:r w:rsidRPr="000978AD">
        <w:rPr>
          <w:b/>
          <w:color w:val="auto"/>
          <w:lang w:val="ru-RU"/>
        </w:rPr>
        <w:t>до предмета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8"/>
        <w:gridCol w:w="2009"/>
        <w:gridCol w:w="6142"/>
        <w:gridCol w:w="1468"/>
      </w:tblGrid>
      <w:tr w:rsidR="00176C46" w:rsidRPr="000978AD" w:rsidTr="00634244">
        <w:trPr>
          <w:trHeight w:val="284"/>
        </w:trPr>
        <w:tc>
          <w:tcPr>
            <w:tcW w:w="528"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 xml:space="preserve">№ </w:t>
            </w:r>
          </w:p>
        </w:tc>
        <w:tc>
          <w:tcPr>
            <w:tcW w:w="200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Найменування</w:t>
            </w:r>
          </w:p>
        </w:tc>
        <w:tc>
          <w:tcPr>
            <w:tcW w:w="6142"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176C46" w:rsidRPr="000978AD" w:rsidRDefault="00176C46" w:rsidP="00B709AB">
            <w:pPr>
              <w:ind w:firstLine="5"/>
              <w:jc w:val="center"/>
              <w:rPr>
                <w:b/>
                <w:bCs/>
                <w:color w:val="auto"/>
              </w:rPr>
            </w:pPr>
            <w:r w:rsidRPr="000978AD">
              <w:rPr>
                <w:b/>
                <w:bCs/>
                <w:color w:val="auto"/>
              </w:rPr>
              <w:t>Вимоги</w:t>
            </w:r>
          </w:p>
        </w:tc>
        <w:tc>
          <w:tcPr>
            <w:tcW w:w="1468" w:type="dxa"/>
            <w:tcBorders>
              <w:top w:val="single" w:sz="8" w:space="0" w:color="auto"/>
              <w:left w:val="single" w:sz="6" w:space="0" w:color="auto"/>
              <w:bottom w:val="single" w:sz="6" w:space="0" w:color="auto"/>
              <w:right w:val="single" w:sz="8" w:space="0" w:color="auto"/>
            </w:tcBorders>
            <w:hideMark/>
          </w:tcPr>
          <w:p w:rsidR="00176C46" w:rsidRPr="000978AD" w:rsidRDefault="00176C46" w:rsidP="00B709AB">
            <w:pPr>
              <w:ind w:firstLine="5"/>
              <w:jc w:val="center"/>
              <w:rPr>
                <w:b/>
                <w:bCs/>
                <w:color w:val="auto"/>
              </w:rPr>
            </w:pPr>
            <w:r w:rsidRPr="000978AD">
              <w:rPr>
                <w:b/>
                <w:color w:val="auto"/>
              </w:rPr>
              <w:t>Зазначити відповідність (так/ні) з посиланням на сторінку (пункту) відповідного документу</w:t>
            </w:r>
          </w:p>
        </w:tc>
      </w:tr>
      <w:tr w:rsidR="0092539D" w:rsidRPr="000978AD" w:rsidTr="009F5350">
        <w:trPr>
          <w:trHeight w:val="284"/>
        </w:trPr>
        <w:tc>
          <w:tcPr>
            <w:tcW w:w="528"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92539D" w:rsidRPr="005B217D" w:rsidRDefault="0092539D" w:rsidP="0092539D">
            <w:pPr>
              <w:contextualSpacing/>
              <w:jc w:val="right"/>
              <w:rPr>
                <w:b/>
                <w:bCs/>
              </w:rPr>
            </w:pPr>
            <w:r w:rsidRPr="005B217D">
              <w:rPr>
                <w:b/>
                <w:bCs/>
              </w:rPr>
              <w:t>1.</w:t>
            </w:r>
          </w:p>
        </w:tc>
        <w:tc>
          <w:tcPr>
            <w:tcW w:w="200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 xml:space="preserve">Яйця </w:t>
            </w:r>
          </w:p>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курячі</w:t>
            </w:r>
          </w:p>
          <w:p w:rsidR="0092539D" w:rsidRPr="005B217D" w:rsidRDefault="0092539D" w:rsidP="0092539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1 ґатунку</w:t>
            </w:r>
          </w:p>
        </w:tc>
        <w:tc>
          <w:tcPr>
            <w:tcW w:w="6142"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92539D" w:rsidRPr="005B217D" w:rsidRDefault="0092539D" w:rsidP="0092539D">
            <w:pPr>
              <w:pStyle w:val="ac"/>
              <w:contextualSpacing/>
              <w:jc w:val="both"/>
              <w:rPr>
                <w:color w:val="000000"/>
                <w:lang w:eastAsia="en-US"/>
              </w:rPr>
            </w:pPr>
            <w:r w:rsidRPr="005B217D">
              <w:rPr>
                <w:b/>
                <w:bCs/>
              </w:rPr>
              <w:t>Яйця курячі 1 ґатунку:</w:t>
            </w:r>
            <w:r w:rsidRPr="005B217D">
              <w:rPr>
                <w:color w:val="000000"/>
                <w:lang w:eastAsia="en-US"/>
              </w:rPr>
              <w:t xml:space="preserve"> </w:t>
            </w:r>
          </w:p>
          <w:p w:rsidR="0092539D" w:rsidRPr="005B217D" w:rsidRDefault="0092539D" w:rsidP="0092539D">
            <w:pPr>
              <w:ind w:firstLine="5"/>
              <w:contextualSpacing/>
              <w:rPr>
                <w:bCs/>
              </w:rPr>
            </w:pPr>
            <w:r w:rsidRPr="005B217D">
              <w:rPr>
                <w:b/>
                <w:i/>
                <w:color w:val="000000"/>
                <w:u w:val="single"/>
              </w:rPr>
              <w:t xml:space="preserve">Якість </w:t>
            </w:r>
            <w:r w:rsidRPr="005B217D">
              <w:rPr>
                <w:color w:val="000000"/>
              </w:rPr>
              <w:t>- відповідно ДСТУ 5028:2008 «Яйця курячі харчові. Технічні умови»</w:t>
            </w:r>
            <w:r w:rsidRPr="005B217D">
              <w:rPr>
                <w:bCs/>
              </w:rPr>
              <w:t xml:space="preserve">  та інші актуальні (що діють на дату оголошення закупівлі) редакції національних та міжнародних стандартів, їх зміни та доповнення.</w:t>
            </w:r>
          </w:p>
          <w:p w:rsidR="0092539D" w:rsidRPr="005B217D" w:rsidRDefault="0092539D" w:rsidP="0092539D">
            <w:pPr>
              <w:contextualSpacing/>
              <w:jc w:val="both"/>
              <w:rPr>
                <w:color w:val="000000"/>
              </w:rPr>
            </w:pPr>
            <w:r w:rsidRPr="005B217D">
              <w:rPr>
                <w:b/>
                <w:i/>
                <w:color w:val="000000"/>
                <w:u w:val="single"/>
              </w:rPr>
              <w:t>Пакування</w:t>
            </w:r>
            <w:r w:rsidRPr="005B217D">
              <w:rPr>
                <w:color w:val="000000"/>
              </w:rPr>
              <w:t xml:space="preserve"> - Лотки з пульпи (на 30 шт)</w:t>
            </w:r>
          </w:p>
          <w:p w:rsidR="0092539D" w:rsidRPr="005B217D" w:rsidRDefault="0092539D" w:rsidP="0092539D">
            <w:pPr>
              <w:contextualSpacing/>
              <w:jc w:val="both"/>
              <w:rPr>
                <w:color w:val="000000"/>
              </w:rPr>
            </w:pPr>
            <w:r w:rsidRPr="005B217D">
              <w:rPr>
                <w:b/>
                <w:i/>
                <w:color w:val="000000"/>
                <w:u w:val="single"/>
              </w:rPr>
              <w:t>Колір</w:t>
            </w:r>
            <w:r w:rsidRPr="005B217D">
              <w:rPr>
                <w:color w:val="000000"/>
              </w:rPr>
              <w:t xml:space="preserve"> - Білі, коричневі</w:t>
            </w:r>
          </w:p>
          <w:p w:rsidR="0092539D" w:rsidRPr="005B217D" w:rsidRDefault="0092539D" w:rsidP="0092539D">
            <w:pPr>
              <w:contextualSpacing/>
              <w:jc w:val="both"/>
              <w:rPr>
                <w:color w:val="000000"/>
              </w:rPr>
            </w:pPr>
            <w:r w:rsidRPr="005B217D">
              <w:rPr>
                <w:b/>
                <w:i/>
                <w:color w:val="000000"/>
                <w:u w:val="single"/>
              </w:rPr>
              <w:t>Шкарлупа</w:t>
            </w:r>
            <w:r w:rsidRPr="005B217D">
              <w:rPr>
                <w:color w:val="000000"/>
              </w:rPr>
              <w:t xml:space="preserve"> - Чиста, непошкоджена, без видимих змін структури, без слідів крові чи посліду. Дозволено поодинокі цятки, плями або смуги від транспортерної стрічки</w:t>
            </w:r>
          </w:p>
          <w:p w:rsidR="0092539D" w:rsidRPr="005B217D" w:rsidRDefault="0092539D" w:rsidP="0092539D">
            <w:pPr>
              <w:contextualSpacing/>
              <w:jc w:val="both"/>
              <w:rPr>
                <w:color w:val="000000"/>
              </w:rPr>
            </w:pPr>
            <w:r w:rsidRPr="005B217D">
              <w:rPr>
                <w:b/>
                <w:i/>
                <w:color w:val="000000"/>
                <w:u w:val="single"/>
              </w:rPr>
              <w:t>Запах вмісту яйця</w:t>
            </w:r>
            <w:r w:rsidRPr="005B217D">
              <w:rPr>
                <w:color w:val="000000"/>
              </w:rPr>
              <w:t xml:space="preserve"> - Природний, без стороннього затхлого чи гнилісного запаху</w:t>
            </w:r>
          </w:p>
          <w:p w:rsidR="0092539D" w:rsidRPr="005B217D" w:rsidRDefault="0092539D" w:rsidP="0092539D">
            <w:pPr>
              <w:contextualSpacing/>
              <w:jc w:val="both"/>
              <w:rPr>
                <w:color w:val="000000"/>
              </w:rPr>
            </w:pPr>
            <w:r w:rsidRPr="005B217D">
              <w:rPr>
                <w:b/>
                <w:i/>
                <w:color w:val="000000"/>
                <w:u w:val="single"/>
              </w:rPr>
              <w:t>Жовток</w:t>
            </w:r>
            <w:r w:rsidRPr="005B217D">
              <w:rPr>
                <w:color w:val="000000"/>
              </w:rPr>
              <w:t xml:space="preserve"> - 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w:t>
            </w:r>
          </w:p>
          <w:p w:rsidR="0092539D" w:rsidRPr="005B217D" w:rsidRDefault="0092539D" w:rsidP="0092539D">
            <w:pPr>
              <w:ind w:firstLine="5"/>
              <w:contextualSpacing/>
              <w:rPr>
                <w:b/>
                <w:bCs/>
              </w:rPr>
            </w:pPr>
            <w:r w:rsidRPr="005B217D">
              <w:rPr>
                <w:rFonts w:eastAsia="Arial"/>
                <w:b/>
                <w:i/>
                <w:color w:val="000000"/>
                <w:u w:val="single"/>
              </w:rPr>
              <w:t>Білок</w:t>
            </w:r>
            <w:r w:rsidRPr="005B217D">
              <w:rPr>
                <w:rFonts w:eastAsia="Arial"/>
                <w:color w:val="000000"/>
              </w:rPr>
              <w:t xml:space="preserve"> - Чистий, щільний, світлий, прозорий, без будь-яких сторонніх домішок</w:t>
            </w:r>
          </w:p>
          <w:p w:rsidR="0092539D" w:rsidRPr="005B217D" w:rsidRDefault="0092539D" w:rsidP="0092539D">
            <w:pPr>
              <w:ind w:firstLine="5"/>
              <w:contextualSpacing/>
              <w:rPr>
                <w:bCs/>
              </w:rPr>
            </w:pPr>
            <w:r w:rsidRPr="005B217D">
              <w:rPr>
                <w:b/>
                <w:bCs/>
                <w:i/>
                <w:u w:val="single"/>
              </w:rPr>
              <w:t xml:space="preserve">Ґатунок: </w:t>
            </w:r>
            <w:r w:rsidRPr="005B217D">
              <w:rPr>
                <w:bCs/>
              </w:rPr>
              <w:t>перший.</w:t>
            </w:r>
          </w:p>
          <w:p w:rsidR="0092539D" w:rsidRPr="005B217D" w:rsidRDefault="0092539D" w:rsidP="0092539D">
            <w:pPr>
              <w:ind w:firstLine="5"/>
              <w:contextualSpacing/>
              <w:rPr>
                <w:bCs/>
              </w:rPr>
            </w:pPr>
            <w:r w:rsidRPr="005B217D">
              <w:rPr>
                <w:b/>
                <w:bCs/>
                <w:i/>
                <w:u w:val="single"/>
              </w:rPr>
              <w:t>Маса одного яйця курячого 1 ґатунку:</w:t>
            </w:r>
            <w:r w:rsidRPr="005B217D">
              <w:rPr>
                <w:bCs/>
              </w:rPr>
              <w:t xml:space="preserve">  50 г.</w:t>
            </w:r>
          </w:p>
          <w:p w:rsidR="0092539D" w:rsidRPr="005B217D" w:rsidRDefault="0092539D" w:rsidP="0092539D">
            <w:pPr>
              <w:ind w:firstLine="5"/>
              <w:contextualSpacing/>
              <w:rPr>
                <w:bCs/>
              </w:rPr>
            </w:pPr>
            <w:r w:rsidRPr="005B217D">
              <w:rPr>
                <w:b/>
                <w:bCs/>
                <w:i/>
                <w:u w:val="single"/>
              </w:rPr>
              <w:t xml:space="preserve">Термін придатності </w:t>
            </w:r>
            <w:r w:rsidRPr="005B217D">
              <w:rPr>
                <w:bCs/>
              </w:rPr>
              <w:t>від загального терміну зберігання, передбаченого виробником, на час поставки (не менше, ніж): не менше 80 %.</w:t>
            </w:r>
          </w:p>
          <w:p w:rsidR="0092539D" w:rsidRPr="005B217D" w:rsidRDefault="0092539D" w:rsidP="0092539D">
            <w:pPr>
              <w:ind w:firstLine="5"/>
              <w:contextualSpacing/>
              <w:rPr>
                <w:bCs/>
              </w:rPr>
            </w:pPr>
            <w:r w:rsidRPr="005B217D">
              <w:rPr>
                <w:bCs/>
              </w:rPr>
              <w:t xml:space="preserve"> </w:t>
            </w:r>
            <w:r w:rsidRPr="005B217D">
              <w:rPr>
                <w:b/>
                <w:bCs/>
                <w:i/>
                <w:u w:val="single"/>
              </w:rPr>
              <w:t>Товар повинен відповідати</w:t>
            </w:r>
            <w:r w:rsidRPr="005B217D">
              <w:rPr>
                <w:bCs/>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вказаним ДСТУ.</w:t>
            </w:r>
          </w:p>
          <w:p w:rsidR="0092539D" w:rsidRPr="005B217D" w:rsidRDefault="0092539D" w:rsidP="0092539D">
            <w:pPr>
              <w:ind w:firstLine="5"/>
              <w:contextualSpacing/>
              <w:rPr>
                <w:bCs/>
              </w:rPr>
            </w:pPr>
            <w:r w:rsidRPr="005B217D">
              <w:rPr>
                <w:b/>
                <w:bCs/>
                <w:i/>
                <w:u w:val="single"/>
              </w:rPr>
              <w:t>Продукція повинна транспортуватись</w:t>
            </w:r>
            <w:r w:rsidRPr="005B217D">
              <w:rPr>
                <w:bCs/>
              </w:rPr>
              <w:t xml:space="preserve"> у спеціалізованому транспорті з холодильним обладнанням з відповідною температурою згідно зі стандартами.</w:t>
            </w:r>
          </w:p>
          <w:p w:rsidR="0092539D" w:rsidRPr="005B217D" w:rsidRDefault="0092539D" w:rsidP="0092539D">
            <w:pPr>
              <w:ind w:firstLine="5"/>
              <w:contextualSpacing/>
              <w:rPr>
                <w:bCs/>
              </w:rPr>
            </w:pPr>
          </w:p>
        </w:tc>
        <w:tc>
          <w:tcPr>
            <w:tcW w:w="1468" w:type="dxa"/>
            <w:tcBorders>
              <w:top w:val="single" w:sz="8" w:space="0" w:color="auto"/>
              <w:left w:val="single" w:sz="6" w:space="0" w:color="auto"/>
              <w:bottom w:val="single" w:sz="6" w:space="0" w:color="auto"/>
              <w:right w:val="single" w:sz="8" w:space="0" w:color="auto"/>
            </w:tcBorders>
          </w:tcPr>
          <w:p w:rsidR="0092539D" w:rsidRPr="000978AD" w:rsidRDefault="0092539D" w:rsidP="0092539D">
            <w:pPr>
              <w:ind w:firstLine="5"/>
              <w:jc w:val="center"/>
              <w:rPr>
                <w:bCs/>
                <w:color w:val="auto"/>
              </w:rPr>
            </w:pPr>
          </w:p>
        </w:tc>
      </w:tr>
    </w:tbl>
    <w:p w:rsidR="0008684A" w:rsidRPr="00176C46" w:rsidRDefault="0008684A" w:rsidP="00176C46">
      <w:bookmarkStart w:id="0" w:name="_GoBack"/>
      <w:bookmarkEnd w:id="0"/>
    </w:p>
    <w:sectPr w:rsidR="0008684A" w:rsidRPr="00176C46" w:rsidSect="00A46D13">
      <w:footerReference w:type="default" r:id="rId8"/>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B21351" w:rsidRPr="00B21351">
          <w:rPr>
            <w:noProof/>
            <w:lang w:val="ru-RU"/>
          </w:rPr>
          <w:t>2</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5"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8"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1243"/>
    <w:rsid w:val="00066D40"/>
    <w:rsid w:val="0008684A"/>
    <w:rsid w:val="00087340"/>
    <w:rsid w:val="000978AD"/>
    <w:rsid w:val="000B6083"/>
    <w:rsid w:val="000E2D3C"/>
    <w:rsid w:val="000E6FCC"/>
    <w:rsid w:val="0010473D"/>
    <w:rsid w:val="001061DD"/>
    <w:rsid w:val="0011067F"/>
    <w:rsid w:val="00120D9B"/>
    <w:rsid w:val="00124813"/>
    <w:rsid w:val="001308C1"/>
    <w:rsid w:val="0013435D"/>
    <w:rsid w:val="00143377"/>
    <w:rsid w:val="001703A3"/>
    <w:rsid w:val="00176C46"/>
    <w:rsid w:val="00177780"/>
    <w:rsid w:val="00185602"/>
    <w:rsid w:val="00187786"/>
    <w:rsid w:val="001928A9"/>
    <w:rsid w:val="00195E3D"/>
    <w:rsid w:val="00197720"/>
    <w:rsid w:val="001A36B2"/>
    <w:rsid w:val="001A6C5C"/>
    <w:rsid w:val="001B697D"/>
    <w:rsid w:val="001C7C7C"/>
    <w:rsid w:val="001F01E0"/>
    <w:rsid w:val="00225F20"/>
    <w:rsid w:val="00235EAB"/>
    <w:rsid w:val="00246FA9"/>
    <w:rsid w:val="00257F05"/>
    <w:rsid w:val="00274CA8"/>
    <w:rsid w:val="00274FBD"/>
    <w:rsid w:val="00280F68"/>
    <w:rsid w:val="00282702"/>
    <w:rsid w:val="00286802"/>
    <w:rsid w:val="00291380"/>
    <w:rsid w:val="002975ED"/>
    <w:rsid w:val="002A1BFE"/>
    <w:rsid w:val="002A4E39"/>
    <w:rsid w:val="002C0CF5"/>
    <w:rsid w:val="002D4FD0"/>
    <w:rsid w:val="002E3131"/>
    <w:rsid w:val="002E3998"/>
    <w:rsid w:val="002E6F0D"/>
    <w:rsid w:val="00305D38"/>
    <w:rsid w:val="0031751F"/>
    <w:rsid w:val="003210F9"/>
    <w:rsid w:val="0032486A"/>
    <w:rsid w:val="0033613F"/>
    <w:rsid w:val="00344206"/>
    <w:rsid w:val="003463C5"/>
    <w:rsid w:val="00351BBE"/>
    <w:rsid w:val="003746D1"/>
    <w:rsid w:val="00375468"/>
    <w:rsid w:val="00387853"/>
    <w:rsid w:val="00396E1C"/>
    <w:rsid w:val="003A0D19"/>
    <w:rsid w:val="003A2E20"/>
    <w:rsid w:val="003A4D14"/>
    <w:rsid w:val="003B5242"/>
    <w:rsid w:val="003D259E"/>
    <w:rsid w:val="003E62E7"/>
    <w:rsid w:val="00400410"/>
    <w:rsid w:val="004077AB"/>
    <w:rsid w:val="00412BB0"/>
    <w:rsid w:val="0042171C"/>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D5437"/>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4244"/>
    <w:rsid w:val="006372CB"/>
    <w:rsid w:val="00637A3C"/>
    <w:rsid w:val="00642508"/>
    <w:rsid w:val="0065071D"/>
    <w:rsid w:val="0065240B"/>
    <w:rsid w:val="0066222D"/>
    <w:rsid w:val="00662238"/>
    <w:rsid w:val="00662F82"/>
    <w:rsid w:val="00664518"/>
    <w:rsid w:val="0066600D"/>
    <w:rsid w:val="00674371"/>
    <w:rsid w:val="00684F51"/>
    <w:rsid w:val="006951B1"/>
    <w:rsid w:val="006A0EC6"/>
    <w:rsid w:val="006B55BE"/>
    <w:rsid w:val="006C116A"/>
    <w:rsid w:val="006C1835"/>
    <w:rsid w:val="006C28F1"/>
    <w:rsid w:val="0070097D"/>
    <w:rsid w:val="00713B33"/>
    <w:rsid w:val="00720F46"/>
    <w:rsid w:val="00731109"/>
    <w:rsid w:val="007618F3"/>
    <w:rsid w:val="00763E09"/>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31B64"/>
    <w:rsid w:val="00835CDA"/>
    <w:rsid w:val="00843FAC"/>
    <w:rsid w:val="00855CC9"/>
    <w:rsid w:val="008671C3"/>
    <w:rsid w:val="00877561"/>
    <w:rsid w:val="008A0FAE"/>
    <w:rsid w:val="008A1DB0"/>
    <w:rsid w:val="008B7084"/>
    <w:rsid w:val="008B722C"/>
    <w:rsid w:val="008C4EC0"/>
    <w:rsid w:val="008D2405"/>
    <w:rsid w:val="008D2B24"/>
    <w:rsid w:val="008E772D"/>
    <w:rsid w:val="008F3E1E"/>
    <w:rsid w:val="008F7A6D"/>
    <w:rsid w:val="00906E00"/>
    <w:rsid w:val="0090747C"/>
    <w:rsid w:val="00912F64"/>
    <w:rsid w:val="00917123"/>
    <w:rsid w:val="0092539D"/>
    <w:rsid w:val="00932402"/>
    <w:rsid w:val="00933668"/>
    <w:rsid w:val="00940D10"/>
    <w:rsid w:val="009640A9"/>
    <w:rsid w:val="00993644"/>
    <w:rsid w:val="009A2697"/>
    <w:rsid w:val="009B2CFC"/>
    <w:rsid w:val="009E10D5"/>
    <w:rsid w:val="009F191A"/>
    <w:rsid w:val="00A174AC"/>
    <w:rsid w:val="00A176D8"/>
    <w:rsid w:val="00A20BE8"/>
    <w:rsid w:val="00A37DA5"/>
    <w:rsid w:val="00A40355"/>
    <w:rsid w:val="00A4120E"/>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1351"/>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D7669"/>
    <w:rsid w:val="00BE18E5"/>
    <w:rsid w:val="00C22538"/>
    <w:rsid w:val="00C26597"/>
    <w:rsid w:val="00C40ABC"/>
    <w:rsid w:val="00C5642E"/>
    <w:rsid w:val="00C63D81"/>
    <w:rsid w:val="00C663BB"/>
    <w:rsid w:val="00C74F33"/>
    <w:rsid w:val="00C8370E"/>
    <w:rsid w:val="00CA258F"/>
    <w:rsid w:val="00CA2E2F"/>
    <w:rsid w:val="00CB42E2"/>
    <w:rsid w:val="00CB480A"/>
    <w:rsid w:val="00CB689B"/>
    <w:rsid w:val="00CD3F5E"/>
    <w:rsid w:val="00CF340D"/>
    <w:rsid w:val="00CF6048"/>
    <w:rsid w:val="00D00560"/>
    <w:rsid w:val="00D05C35"/>
    <w:rsid w:val="00D1579A"/>
    <w:rsid w:val="00D16098"/>
    <w:rsid w:val="00D31024"/>
    <w:rsid w:val="00D33E07"/>
    <w:rsid w:val="00D35A1C"/>
    <w:rsid w:val="00D61BC0"/>
    <w:rsid w:val="00D663C5"/>
    <w:rsid w:val="00D77E11"/>
    <w:rsid w:val="00DA0E2F"/>
    <w:rsid w:val="00DA2C45"/>
    <w:rsid w:val="00DA52CE"/>
    <w:rsid w:val="00DA77D0"/>
    <w:rsid w:val="00DB0D42"/>
    <w:rsid w:val="00DC3C12"/>
    <w:rsid w:val="00DE0C33"/>
    <w:rsid w:val="00DE4559"/>
    <w:rsid w:val="00E1028F"/>
    <w:rsid w:val="00E11B2A"/>
    <w:rsid w:val="00E226D4"/>
    <w:rsid w:val="00E35CED"/>
    <w:rsid w:val="00E35F48"/>
    <w:rsid w:val="00E40F8B"/>
    <w:rsid w:val="00E5741D"/>
    <w:rsid w:val="00E63667"/>
    <w:rsid w:val="00E72217"/>
    <w:rsid w:val="00E76EF4"/>
    <w:rsid w:val="00E76FFD"/>
    <w:rsid w:val="00E92242"/>
    <w:rsid w:val="00E961DB"/>
    <w:rsid w:val="00EB1DF9"/>
    <w:rsid w:val="00EC63C3"/>
    <w:rsid w:val="00ED61C3"/>
    <w:rsid w:val="00ED7137"/>
    <w:rsid w:val="00EE37F4"/>
    <w:rsid w:val="00EE46C5"/>
    <w:rsid w:val="00EF0A14"/>
    <w:rsid w:val="00F00B44"/>
    <w:rsid w:val="00F2322F"/>
    <w:rsid w:val="00F5096D"/>
    <w:rsid w:val="00F53CEE"/>
    <w:rsid w:val="00F56526"/>
    <w:rsid w:val="00F63F32"/>
    <w:rsid w:val="00F708F5"/>
    <w:rsid w:val="00F81324"/>
    <w:rsid w:val="00F8516B"/>
    <w:rsid w:val="00F968A7"/>
    <w:rsid w:val="00FA3FA8"/>
    <w:rsid w:val="00FB46B9"/>
    <w:rsid w:val="00FB584E"/>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 w:type="paragraph" w:styleId="ac">
    <w:name w:val="No Spacing"/>
    <w:link w:val="ad"/>
    <w:uiPriority w:val="1"/>
    <w:qFormat/>
    <w:rsid w:val="00634244"/>
    <w:pPr>
      <w:spacing w:after="0" w:line="240" w:lineRule="auto"/>
    </w:pPr>
    <w:rPr>
      <w:rFonts w:eastAsia="Times New Roman" w:cs="Times New Roman"/>
      <w:color w:val="00000A"/>
      <w:sz w:val="24"/>
      <w:szCs w:val="24"/>
      <w:lang w:val="uk-UA" w:eastAsia="ru-RU"/>
    </w:rPr>
  </w:style>
  <w:style w:type="character" w:customStyle="1" w:styleId="ad">
    <w:name w:val="Без интервала Знак"/>
    <w:link w:val="ac"/>
    <w:uiPriority w:val="1"/>
    <w:locked/>
    <w:rsid w:val="004D5437"/>
    <w:rPr>
      <w:rFonts w:eastAsia="Times New Roman" w:cs="Times New Roman"/>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52D4-801F-4DCB-927A-B027A3A4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3976</Words>
  <Characters>2267</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Часенко Вадим Васильович</cp:lastModifiedBy>
  <cp:revision>2</cp:revision>
  <cp:lastPrinted>2022-11-24T13:03:00Z</cp:lastPrinted>
  <dcterms:created xsi:type="dcterms:W3CDTF">2023-03-29T11:55:00Z</dcterms:created>
  <dcterms:modified xsi:type="dcterms:W3CDTF">2023-03-29T11:55:00Z</dcterms:modified>
</cp:coreProperties>
</file>