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CDE2" w14:textId="77777777" w:rsidR="00F645B0" w:rsidRPr="00071B5A" w:rsidRDefault="00AD0AE2" w:rsidP="00AD0AE2">
      <w:pPr>
        <w:autoSpaceDE w:val="0"/>
        <w:autoSpaceDN w:val="0"/>
        <w:adjustRightInd w:val="0"/>
        <w:ind w:left="0" w:right="0"/>
        <w:rPr>
          <w:b/>
          <w:sz w:val="24"/>
          <w:szCs w:val="24"/>
        </w:rPr>
      </w:pPr>
      <w:r>
        <w:rPr>
          <w:b/>
          <w:sz w:val="24"/>
          <w:szCs w:val="24"/>
          <w:lang w:val="ru-RU"/>
        </w:rPr>
        <w:t xml:space="preserve">                                                                               </w:t>
      </w:r>
      <w:r w:rsidR="00F645B0" w:rsidRPr="00071B5A">
        <w:rPr>
          <w:b/>
          <w:sz w:val="24"/>
          <w:szCs w:val="24"/>
        </w:rPr>
        <w:t>Додаток 5</w:t>
      </w:r>
    </w:p>
    <w:p w14:paraId="5C962507" w14:textId="77777777" w:rsidR="00F645B0" w:rsidRPr="00071B5A" w:rsidRDefault="00F645B0" w:rsidP="00F645B0">
      <w:pPr>
        <w:autoSpaceDE w:val="0"/>
        <w:autoSpaceDN w:val="0"/>
        <w:adjustRightInd w:val="0"/>
        <w:ind w:left="0" w:right="0"/>
        <w:jc w:val="right"/>
        <w:rPr>
          <w:b/>
          <w:sz w:val="24"/>
          <w:szCs w:val="24"/>
        </w:rPr>
      </w:pPr>
      <w:r w:rsidRPr="00071B5A">
        <w:rPr>
          <w:b/>
          <w:sz w:val="24"/>
          <w:szCs w:val="24"/>
        </w:rPr>
        <w:t>до тендерної документації</w:t>
      </w:r>
    </w:p>
    <w:p w14:paraId="071753CA" w14:textId="77777777" w:rsidR="00F645B0" w:rsidRPr="00071B5A" w:rsidRDefault="00F645B0" w:rsidP="00F645B0">
      <w:pPr>
        <w:autoSpaceDE w:val="0"/>
        <w:autoSpaceDN w:val="0"/>
        <w:adjustRightInd w:val="0"/>
        <w:ind w:left="0" w:right="0"/>
        <w:jc w:val="right"/>
        <w:rPr>
          <w:b/>
        </w:rPr>
      </w:pPr>
    </w:p>
    <w:p w14:paraId="24F6227C" w14:textId="77777777" w:rsidR="00F645B0" w:rsidRPr="00071B5A" w:rsidRDefault="00F645B0" w:rsidP="00F645B0">
      <w:pPr>
        <w:pStyle w:val="a3"/>
        <w:tabs>
          <w:tab w:val="left" w:pos="0"/>
        </w:tabs>
        <w:spacing w:before="0" w:beforeAutospacing="0" w:after="0" w:afterAutospacing="0"/>
        <w:jc w:val="center"/>
        <w:rPr>
          <w:b/>
          <w:lang w:eastAsia="uk-UA"/>
        </w:rPr>
      </w:pPr>
      <w:r w:rsidRPr="00071B5A">
        <w:rPr>
          <w:b/>
        </w:rPr>
        <w:t>П</w:t>
      </w:r>
      <w:r w:rsidRPr="00071B5A">
        <w:rPr>
          <w:b/>
          <w:lang w:eastAsia="uk-UA"/>
        </w:rPr>
        <w:t xml:space="preserve">ідтвердження учасником - переможцем процедури закупівлі </w:t>
      </w:r>
    </w:p>
    <w:p w14:paraId="1195A812" w14:textId="77777777" w:rsidR="00F645B0" w:rsidRDefault="00F645B0" w:rsidP="00F645B0">
      <w:pPr>
        <w:pStyle w:val="a3"/>
        <w:tabs>
          <w:tab w:val="left" w:pos="0"/>
        </w:tabs>
        <w:spacing w:before="0" w:beforeAutospacing="0" w:after="0" w:afterAutospacing="0"/>
        <w:jc w:val="center"/>
        <w:rPr>
          <w:b/>
          <w:lang w:eastAsia="uk-UA"/>
        </w:rPr>
      </w:pPr>
      <w:r w:rsidRPr="00071B5A">
        <w:rPr>
          <w:b/>
          <w:lang w:eastAsia="uk-UA"/>
        </w:rPr>
        <w:t xml:space="preserve">відсутності підстав, </w:t>
      </w:r>
      <w:r w:rsidRPr="00071B5A">
        <w:rPr>
          <w:b/>
        </w:rPr>
        <w:t xml:space="preserve">визначених пунктами 2, 3, 5, 6, 8, 12, 13 частини першої та частиною другою статті 17 </w:t>
      </w:r>
      <w:r w:rsidRPr="00071B5A">
        <w:rPr>
          <w:b/>
          <w:lang w:eastAsia="uk-UA"/>
        </w:rPr>
        <w:t>Закону</w:t>
      </w:r>
    </w:p>
    <w:p w14:paraId="355D76C8" w14:textId="77777777" w:rsidR="008A569A" w:rsidRDefault="008A569A" w:rsidP="00F645B0">
      <w:pPr>
        <w:pStyle w:val="a3"/>
        <w:tabs>
          <w:tab w:val="left" w:pos="0"/>
        </w:tabs>
        <w:spacing w:before="0" w:beforeAutospacing="0" w:after="0" w:afterAutospacing="0"/>
        <w:jc w:val="center"/>
        <w:rPr>
          <w:b/>
          <w:lang w:eastAsia="uk-UA"/>
        </w:rPr>
      </w:pPr>
    </w:p>
    <w:p w14:paraId="5DA2B1FE" w14:textId="77777777" w:rsidR="008A569A" w:rsidRDefault="008A569A" w:rsidP="00F645B0">
      <w:pPr>
        <w:pStyle w:val="a3"/>
        <w:tabs>
          <w:tab w:val="left" w:pos="0"/>
        </w:tabs>
        <w:spacing w:before="0" w:beforeAutospacing="0" w:after="0" w:afterAutospacing="0"/>
        <w:jc w:val="center"/>
        <w:rPr>
          <w:b/>
          <w:lang w:eastAsia="uk-UA"/>
        </w:rPr>
      </w:pPr>
    </w:p>
    <w:p w14:paraId="45934739" w14:textId="77777777" w:rsidR="008A569A" w:rsidRPr="00056785" w:rsidRDefault="008A569A" w:rsidP="00056785">
      <w:pPr>
        <w:widowControl/>
        <w:ind w:left="0" w:right="-568"/>
        <w:jc w:val="both"/>
        <w:rPr>
          <w:rFonts w:eastAsia="Calibri"/>
          <w:sz w:val="24"/>
          <w:szCs w:val="24"/>
          <w:lang w:eastAsia="uk-UA"/>
        </w:rPr>
      </w:pPr>
      <w:r w:rsidRPr="00056785">
        <w:rPr>
          <w:rFonts w:eastAsia="Calibri"/>
          <w:sz w:val="24"/>
          <w:szCs w:val="24"/>
          <w:lang w:eastAsia="uk-UA"/>
        </w:rPr>
        <w:t>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(зі змінами і продовженням строку) є неможливим замовнику перевірити учасників по відкритих державних реєстрах. З огляду на вищенаведене замовник встановлює такі вимоги:</w:t>
      </w:r>
    </w:p>
    <w:p w14:paraId="3E202967" w14:textId="77777777" w:rsidR="008A569A" w:rsidRPr="00071B5A" w:rsidRDefault="008A569A" w:rsidP="00F645B0">
      <w:pPr>
        <w:pStyle w:val="a3"/>
        <w:tabs>
          <w:tab w:val="left" w:pos="0"/>
        </w:tabs>
        <w:spacing w:before="0" w:beforeAutospacing="0" w:after="0" w:afterAutospacing="0"/>
        <w:jc w:val="center"/>
        <w:rPr>
          <w:b/>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812"/>
      </w:tblGrid>
      <w:tr w:rsidR="00F645B0" w:rsidRPr="00071B5A" w14:paraId="03BA579D" w14:textId="77777777" w:rsidTr="00056785">
        <w:trPr>
          <w:trHeight w:val="717"/>
        </w:trPr>
        <w:tc>
          <w:tcPr>
            <w:tcW w:w="4219" w:type="dxa"/>
            <w:vAlign w:val="center"/>
          </w:tcPr>
          <w:p w14:paraId="72E12A22" w14:textId="77777777" w:rsidR="00F645B0" w:rsidRPr="00071B5A" w:rsidRDefault="00F645B0" w:rsidP="00B76BAE">
            <w:pPr>
              <w:widowControl/>
              <w:tabs>
                <w:tab w:val="left" w:pos="0"/>
              </w:tabs>
              <w:ind w:left="0" w:right="0"/>
              <w:rPr>
                <w:b/>
                <w:sz w:val="24"/>
                <w:szCs w:val="24"/>
              </w:rPr>
            </w:pPr>
            <w:r w:rsidRPr="00071B5A">
              <w:rPr>
                <w:b/>
                <w:sz w:val="24"/>
                <w:szCs w:val="24"/>
              </w:rPr>
              <w:t>Підстава для відмови в участі у процедурі закупівлі</w:t>
            </w:r>
          </w:p>
        </w:tc>
        <w:tc>
          <w:tcPr>
            <w:tcW w:w="5812" w:type="dxa"/>
            <w:vAlign w:val="center"/>
          </w:tcPr>
          <w:p w14:paraId="431A52C3" w14:textId="77777777" w:rsidR="00F645B0" w:rsidRPr="00071B5A" w:rsidRDefault="00F645B0" w:rsidP="00B76BAE">
            <w:pPr>
              <w:widowControl/>
              <w:tabs>
                <w:tab w:val="left" w:pos="0"/>
              </w:tabs>
              <w:ind w:left="0" w:right="0"/>
              <w:rPr>
                <w:b/>
                <w:sz w:val="24"/>
                <w:szCs w:val="24"/>
              </w:rPr>
            </w:pPr>
            <w:r w:rsidRPr="00071B5A">
              <w:rPr>
                <w:b/>
                <w:sz w:val="24"/>
                <w:szCs w:val="24"/>
              </w:rPr>
              <w:t xml:space="preserve">Документи, </w:t>
            </w:r>
          </w:p>
          <w:p w14:paraId="63E5D8C8" w14:textId="77777777" w:rsidR="00F645B0" w:rsidRPr="00071B5A" w:rsidRDefault="00F645B0" w:rsidP="00B76BAE">
            <w:pPr>
              <w:widowControl/>
              <w:tabs>
                <w:tab w:val="left" w:pos="0"/>
              </w:tabs>
              <w:ind w:left="0" w:right="0"/>
              <w:rPr>
                <w:b/>
                <w:sz w:val="24"/>
                <w:szCs w:val="24"/>
              </w:rPr>
            </w:pPr>
            <w:r w:rsidRPr="00071B5A">
              <w:rPr>
                <w:b/>
                <w:sz w:val="24"/>
                <w:szCs w:val="24"/>
              </w:rPr>
              <w:t>що підтверджують відсутність підстав *</w:t>
            </w:r>
          </w:p>
        </w:tc>
      </w:tr>
      <w:tr w:rsidR="00F645B0" w:rsidRPr="00071B5A" w14:paraId="63B6DCFD" w14:textId="77777777" w:rsidTr="00056785">
        <w:trPr>
          <w:trHeight w:val="1405"/>
        </w:trPr>
        <w:tc>
          <w:tcPr>
            <w:tcW w:w="4219" w:type="dxa"/>
          </w:tcPr>
          <w:p w14:paraId="1EBFC52E" w14:textId="77777777" w:rsidR="00F645B0" w:rsidRPr="00071B5A" w:rsidRDefault="00F645B0" w:rsidP="00B76BAE">
            <w:pPr>
              <w:tabs>
                <w:tab w:val="left" w:pos="0"/>
              </w:tabs>
              <w:ind w:left="0" w:right="0"/>
              <w:jc w:val="both"/>
              <w:rPr>
                <w:rFonts w:ascii="Calibri" w:eastAsia="Calibri" w:hAnsi="Calibri"/>
                <w:sz w:val="24"/>
                <w:szCs w:val="24"/>
              </w:rPr>
            </w:pPr>
            <w:r w:rsidRPr="00056785">
              <w:rPr>
                <w:sz w:val="24"/>
                <w:szCs w:val="24"/>
              </w:rPr>
              <w:t>Відомості про юридичну особу, яка є учасником</w:t>
            </w:r>
            <w:r w:rsidR="00653C87" w:rsidRPr="00056785">
              <w:rPr>
                <w:sz w:val="24"/>
                <w:szCs w:val="24"/>
              </w:rPr>
              <w:t xml:space="preserve"> процедури закупівлі</w:t>
            </w:r>
            <w:r w:rsidRPr="00056785">
              <w:rPr>
                <w:sz w:val="24"/>
                <w:szCs w:val="24"/>
              </w:rPr>
              <w:t xml:space="preserve">, </w:t>
            </w:r>
            <w:proofErr w:type="spellStart"/>
            <w:r w:rsidRPr="00056785">
              <w:rPr>
                <w:sz w:val="24"/>
                <w:szCs w:val="24"/>
              </w:rPr>
              <w:t>внесено</w:t>
            </w:r>
            <w:proofErr w:type="spellEnd"/>
            <w:r w:rsidRPr="00056785">
              <w:rPr>
                <w:sz w:val="24"/>
                <w:szCs w:val="24"/>
              </w:rPr>
              <w:t xml:space="preserve"> до Єдиного державного реєстру осіб, які вчинили корупційні або пов’язані з корупцією правопорушення. </w:t>
            </w:r>
            <w:r w:rsidR="00452483" w:rsidRPr="00056785">
              <w:rPr>
                <w:b/>
                <w:sz w:val="24"/>
                <w:szCs w:val="24"/>
              </w:rPr>
              <w:t>(пункт 2 частини 1 статті 17 Закону)</w:t>
            </w:r>
          </w:p>
        </w:tc>
        <w:tc>
          <w:tcPr>
            <w:tcW w:w="5812" w:type="dxa"/>
            <w:vAlign w:val="center"/>
          </w:tcPr>
          <w:p w14:paraId="1EB772F5" w14:textId="77777777" w:rsidR="00073FFD" w:rsidRPr="00056785" w:rsidRDefault="00222055" w:rsidP="00073FFD">
            <w:pPr>
              <w:widowControl/>
              <w:tabs>
                <w:tab w:val="left" w:pos="0"/>
              </w:tabs>
              <w:ind w:left="0" w:right="0"/>
              <w:jc w:val="both"/>
              <w:rPr>
                <w:sz w:val="24"/>
                <w:szCs w:val="24"/>
              </w:rPr>
            </w:pPr>
            <w:r w:rsidRPr="00056785">
              <w:rPr>
                <w:bCs/>
                <w:sz w:val="24"/>
                <w:szCs w:val="24"/>
                <w:lang w:eastAsia="uk-UA"/>
              </w:rPr>
              <w:t>В умовах воєнного стану відсутній вільний доступ до публічної інформації,  що міститься</w:t>
            </w:r>
            <w:r w:rsidRPr="00056785">
              <w:rPr>
                <w:sz w:val="24"/>
                <w:szCs w:val="24"/>
                <w:lang w:eastAsia="uk-UA"/>
              </w:rPr>
              <w:t xml:space="preserve">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056785">
              <w:rPr>
                <w:bCs/>
                <w:sz w:val="24"/>
                <w:szCs w:val="24"/>
                <w:lang w:eastAsia="uk-UA"/>
              </w:rPr>
              <w:t>,</w:t>
            </w:r>
            <w:r w:rsidRPr="00056785">
              <w:rPr>
                <w:sz w:val="24"/>
                <w:szCs w:val="24"/>
                <w:lang w:eastAsia="uk-UA"/>
              </w:rPr>
              <w:t xml:space="preserve">  тому  </w:t>
            </w:r>
            <w:r w:rsidRPr="00056785">
              <w:rPr>
                <w:sz w:val="24"/>
                <w:szCs w:val="24"/>
              </w:rPr>
              <w:t>Переможець вищевказану  інформацію  н</w:t>
            </w:r>
            <w:r w:rsidR="00073FFD" w:rsidRPr="00056785">
              <w:rPr>
                <w:sz w:val="24"/>
                <w:szCs w:val="24"/>
              </w:rPr>
              <w:t>адає в довільній формі:</w:t>
            </w:r>
          </w:p>
          <w:p w14:paraId="7EC1ED34" w14:textId="77777777" w:rsidR="00222055" w:rsidRPr="00056785" w:rsidRDefault="00073FFD" w:rsidP="00651AF5">
            <w:pPr>
              <w:pStyle w:val="a8"/>
              <w:widowControl/>
              <w:numPr>
                <w:ilvl w:val="0"/>
                <w:numId w:val="1"/>
              </w:numPr>
              <w:tabs>
                <w:tab w:val="left" w:pos="0"/>
              </w:tabs>
              <w:ind w:right="0"/>
              <w:jc w:val="both"/>
              <w:rPr>
                <w:sz w:val="24"/>
                <w:szCs w:val="24"/>
              </w:rPr>
            </w:pPr>
            <w:r w:rsidRPr="00056785">
              <w:rPr>
                <w:sz w:val="24"/>
                <w:szCs w:val="24"/>
              </w:rPr>
              <w:t xml:space="preserve">гарантійний лист в довільній формі про те, що </w:t>
            </w:r>
            <w:r w:rsidRPr="00056785">
              <w:rPr>
                <w:bCs/>
                <w:sz w:val="24"/>
                <w:szCs w:val="24"/>
              </w:rPr>
              <w:t>юридичну особу</w:t>
            </w:r>
            <w:r w:rsidRPr="00056785">
              <w:rPr>
                <w:sz w:val="24"/>
                <w:szCs w:val="24"/>
              </w:rPr>
              <w:t xml:space="preserve">, яка є учасником процедури закупівлі, не </w:t>
            </w:r>
            <w:proofErr w:type="spellStart"/>
            <w:r w:rsidRPr="00056785">
              <w:rPr>
                <w:sz w:val="24"/>
                <w:szCs w:val="24"/>
              </w:rPr>
              <w:t>внесено</w:t>
            </w:r>
            <w:proofErr w:type="spellEnd"/>
            <w:r w:rsidRPr="00056785">
              <w:rPr>
                <w:sz w:val="24"/>
                <w:szCs w:val="24"/>
              </w:rPr>
              <w:t xml:space="preserve"> до Єдиного державного реєстру осіб, які вчинили корупційні або пов’язані з корупцією правопорушення.</w:t>
            </w:r>
          </w:p>
          <w:p w14:paraId="70B5D9AD" w14:textId="77777777" w:rsidR="00222055" w:rsidRPr="00056785" w:rsidRDefault="00222055" w:rsidP="00B76BAE">
            <w:pPr>
              <w:widowControl/>
              <w:tabs>
                <w:tab w:val="left" w:pos="0"/>
              </w:tabs>
              <w:ind w:left="0" w:right="0"/>
              <w:jc w:val="both"/>
              <w:rPr>
                <w:strike/>
                <w:sz w:val="24"/>
                <w:szCs w:val="24"/>
                <w:u w:val="single"/>
              </w:rPr>
            </w:pPr>
          </w:p>
          <w:p w14:paraId="0B6CB05F" w14:textId="77777777" w:rsidR="006A01D5" w:rsidRPr="00056785" w:rsidRDefault="00073FFD" w:rsidP="00B76BAE">
            <w:pPr>
              <w:widowControl/>
              <w:tabs>
                <w:tab w:val="left" w:pos="0"/>
              </w:tabs>
              <w:ind w:left="0" w:right="0"/>
              <w:jc w:val="both"/>
              <w:rPr>
                <w:sz w:val="24"/>
                <w:szCs w:val="24"/>
              </w:rPr>
            </w:pPr>
            <w:r w:rsidRPr="00056785">
              <w:rPr>
                <w:sz w:val="24"/>
                <w:szCs w:val="24"/>
              </w:rPr>
              <w:t xml:space="preserve">У разі відновлення роботи сайтів, </w:t>
            </w:r>
            <w:r w:rsidR="006A01D5" w:rsidRPr="00056785">
              <w:rPr>
                <w:sz w:val="24"/>
                <w:szCs w:val="24"/>
              </w:rPr>
              <w:t>Замовник самостійно перевіряє інформацію, що міститься у відкритому реєстрі (https://corruptinfo.nazk.gov.ua/</w:t>
            </w:r>
            <w:r w:rsidRPr="00056785">
              <w:rPr>
                <w:sz w:val="24"/>
                <w:szCs w:val="24"/>
              </w:rPr>
              <w:t>)</w:t>
            </w:r>
          </w:p>
        </w:tc>
      </w:tr>
      <w:tr w:rsidR="00F645B0" w:rsidRPr="00071B5A" w14:paraId="73834CE6" w14:textId="77777777" w:rsidTr="00056785">
        <w:trPr>
          <w:trHeight w:val="699"/>
        </w:trPr>
        <w:tc>
          <w:tcPr>
            <w:tcW w:w="4219" w:type="dxa"/>
          </w:tcPr>
          <w:p w14:paraId="7948C3C0" w14:textId="77777777" w:rsidR="00F645B0" w:rsidRPr="00071B5A" w:rsidRDefault="00F645B0" w:rsidP="00B76BAE">
            <w:pPr>
              <w:tabs>
                <w:tab w:val="left" w:pos="0"/>
              </w:tabs>
              <w:ind w:left="0" w:right="0"/>
              <w:jc w:val="both"/>
              <w:rPr>
                <w:sz w:val="24"/>
                <w:szCs w:val="24"/>
              </w:rPr>
            </w:pPr>
            <w:r w:rsidRPr="00056785">
              <w:rPr>
                <w:sz w:val="24"/>
                <w:szCs w:val="24"/>
              </w:rPr>
              <w:t>Службову (посадову) особу учасника</w:t>
            </w:r>
            <w:r w:rsidR="00653C87" w:rsidRPr="00056785">
              <w:rPr>
                <w:sz w:val="24"/>
                <w:szCs w:val="24"/>
              </w:rPr>
              <w:t xml:space="preserve"> процедури закупівлі</w:t>
            </w:r>
            <w:r w:rsidRPr="00056785">
              <w:rPr>
                <w:sz w:val="24"/>
                <w:szCs w:val="24"/>
              </w:rPr>
              <w:t>,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E17786" w:rsidRPr="00056785">
              <w:rPr>
                <w:b/>
                <w:bCs/>
              </w:rPr>
              <w:t xml:space="preserve"> </w:t>
            </w:r>
            <w:r w:rsidR="00E17786" w:rsidRPr="00056785">
              <w:rPr>
                <w:b/>
                <w:bCs/>
                <w:sz w:val="24"/>
                <w:szCs w:val="24"/>
              </w:rPr>
              <w:t>(пункт 3 частини 1 статті 17 Закону)</w:t>
            </w:r>
          </w:p>
        </w:tc>
        <w:tc>
          <w:tcPr>
            <w:tcW w:w="5812" w:type="dxa"/>
            <w:vAlign w:val="center"/>
          </w:tcPr>
          <w:p w14:paraId="49C1306F" w14:textId="77777777" w:rsidR="00073FFD" w:rsidRPr="00056785" w:rsidRDefault="00073FFD" w:rsidP="00073FFD">
            <w:pPr>
              <w:widowControl/>
              <w:tabs>
                <w:tab w:val="left" w:pos="0"/>
              </w:tabs>
              <w:ind w:left="0" w:right="0"/>
              <w:jc w:val="both"/>
              <w:rPr>
                <w:sz w:val="24"/>
                <w:szCs w:val="24"/>
              </w:rPr>
            </w:pPr>
            <w:r w:rsidRPr="00056785">
              <w:rPr>
                <w:bCs/>
                <w:sz w:val="24"/>
                <w:szCs w:val="24"/>
                <w:lang w:eastAsia="uk-UA"/>
              </w:rPr>
              <w:t>В умовах воєнного стану відсутній вільний доступ до публічної інформації,  що міститься</w:t>
            </w:r>
            <w:r w:rsidRPr="00056785">
              <w:rPr>
                <w:sz w:val="24"/>
                <w:szCs w:val="24"/>
                <w:lang w:eastAsia="uk-UA"/>
              </w:rPr>
              <w:t xml:space="preserve">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056785">
              <w:rPr>
                <w:bCs/>
                <w:sz w:val="24"/>
                <w:szCs w:val="24"/>
                <w:lang w:eastAsia="uk-UA"/>
              </w:rPr>
              <w:t>,</w:t>
            </w:r>
            <w:r w:rsidRPr="00056785">
              <w:rPr>
                <w:sz w:val="24"/>
                <w:szCs w:val="24"/>
                <w:lang w:eastAsia="uk-UA"/>
              </w:rPr>
              <w:t xml:space="preserve">  тому  </w:t>
            </w:r>
            <w:r w:rsidRPr="00056785">
              <w:rPr>
                <w:sz w:val="24"/>
                <w:szCs w:val="24"/>
              </w:rPr>
              <w:t>Переможець вищевказану  інформацію  надає в довільній формі:</w:t>
            </w:r>
          </w:p>
          <w:p w14:paraId="136BF3BC" w14:textId="77777777" w:rsidR="00B04FC1" w:rsidRPr="00056785" w:rsidRDefault="00073FFD" w:rsidP="00073FFD">
            <w:pPr>
              <w:pStyle w:val="a8"/>
              <w:widowControl/>
              <w:numPr>
                <w:ilvl w:val="0"/>
                <w:numId w:val="1"/>
              </w:numPr>
              <w:tabs>
                <w:tab w:val="left" w:pos="0"/>
              </w:tabs>
              <w:ind w:right="0"/>
              <w:jc w:val="both"/>
              <w:rPr>
                <w:sz w:val="24"/>
                <w:szCs w:val="24"/>
              </w:rPr>
            </w:pPr>
            <w:r w:rsidRPr="00056785">
              <w:rPr>
                <w:sz w:val="24"/>
                <w:szCs w:val="24"/>
              </w:rPr>
              <w:t>г</w:t>
            </w:r>
            <w:r w:rsidR="00B04FC1" w:rsidRPr="00056785">
              <w:rPr>
                <w:sz w:val="24"/>
                <w:szCs w:val="24"/>
              </w:rPr>
              <w:t>арантійний лист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722BDE" w14:textId="77777777" w:rsidR="00222055" w:rsidRPr="00056785" w:rsidRDefault="00222055" w:rsidP="00B76BAE">
            <w:pPr>
              <w:widowControl/>
              <w:pBdr>
                <w:top w:val="nil"/>
                <w:left w:val="nil"/>
                <w:bottom w:val="nil"/>
                <w:right w:val="nil"/>
                <w:between w:val="nil"/>
              </w:pBdr>
              <w:shd w:val="clear" w:color="auto" w:fill="FFFFFF"/>
              <w:ind w:left="0" w:right="0"/>
              <w:jc w:val="both"/>
              <w:rPr>
                <w:sz w:val="24"/>
                <w:szCs w:val="24"/>
              </w:rPr>
            </w:pPr>
          </w:p>
          <w:p w14:paraId="4A09C2CF" w14:textId="77777777" w:rsidR="006A01D5" w:rsidRPr="00073FFD" w:rsidRDefault="00073FFD" w:rsidP="00B76BAE">
            <w:pPr>
              <w:widowControl/>
              <w:pBdr>
                <w:top w:val="nil"/>
                <w:left w:val="nil"/>
                <w:bottom w:val="nil"/>
                <w:right w:val="nil"/>
                <w:between w:val="nil"/>
              </w:pBdr>
              <w:shd w:val="clear" w:color="auto" w:fill="FFFFFF"/>
              <w:ind w:left="0" w:right="0"/>
              <w:jc w:val="both"/>
              <w:rPr>
                <w:color w:val="FF0000"/>
                <w:sz w:val="24"/>
                <w:szCs w:val="24"/>
              </w:rPr>
            </w:pPr>
            <w:r w:rsidRPr="00056785">
              <w:rPr>
                <w:sz w:val="24"/>
                <w:szCs w:val="24"/>
              </w:rPr>
              <w:t xml:space="preserve">У разі відновлення роботи сайтів, </w:t>
            </w:r>
            <w:r w:rsidR="006A01D5" w:rsidRPr="00056785">
              <w:rPr>
                <w:sz w:val="24"/>
                <w:szCs w:val="24"/>
              </w:rPr>
              <w:t xml:space="preserve">Замовник </w:t>
            </w:r>
            <w:r w:rsidR="006A01D5" w:rsidRPr="00056785">
              <w:rPr>
                <w:sz w:val="24"/>
                <w:szCs w:val="24"/>
              </w:rPr>
              <w:lastRenderedPageBreak/>
              <w:t>самостійно перевіряє інформацію, що міститься у відкритому реєстрі (https://corruptinfo.nazk.gov.ua/</w:t>
            </w:r>
          </w:p>
        </w:tc>
      </w:tr>
      <w:tr w:rsidR="00F645B0" w:rsidRPr="00071B5A" w14:paraId="29C3242B" w14:textId="77777777" w:rsidTr="00056785">
        <w:trPr>
          <w:trHeight w:val="1693"/>
        </w:trPr>
        <w:tc>
          <w:tcPr>
            <w:tcW w:w="4219" w:type="dxa"/>
          </w:tcPr>
          <w:p w14:paraId="0F29FB42" w14:textId="77777777" w:rsidR="00F645B0" w:rsidRPr="00056785" w:rsidRDefault="00F645B0" w:rsidP="00B76BAE">
            <w:pPr>
              <w:tabs>
                <w:tab w:val="left" w:pos="0"/>
              </w:tabs>
              <w:ind w:left="0" w:right="0"/>
              <w:jc w:val="both"/>
              <w:rPr>
                <w:sz w:val="24"/>
                <w:szCs w:val="24"/>
              </w:rPr>
            </w:pPr>
            <w:r w:rsidRPr="00056785">
              <w:rPr>
                <w:sz w:val="24"/>
                <w:szCs w:val="24"/>
              </w:rPr>
              <w:lastRenderedPageBreak/>
              <w:t>Фізична особа, яка є учасником</w:t>
            </w:r>
            <w:r w:rsidR="00E42EDA" w:rsidRPr="00056785">
              <w:rPr>
                <w:sz w:val="24"/>
                <w:szCs w:val="24"/>
              </w:rPr>
              <w:t xml:space="preserve"> процедури закупівлі</w:t>
            </w:r>
            <w:r w:rsidRPr="00056785">
              <w:rPr>
                <w:sz w:val="24"/>
                <w:szCs w:val="24"/>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BF6FBB" w:rsidRPr="00056785">
              <w:rPr>
                <w:b/>
                <w:bCs/>
              </w:rPr>
              <w:t xml:space="preserve"> </w:t>
            </w:r>
            <w:r w:rsidR="00BF6FBB" w:rsidRPr="00056785">
              <w:rPr>
                <w:b/>
                <w:bCs/>
                <w:sz w:val="24"/>
                <w:szCs w:val="24"/>
              </w:rPr>
              <w:t>(пункт 5 частини 1 статті 17 Закону)</w:t>
            </w:r>
          </w:p>
        </w:tc>
        <w:tc>
          <w:tcPr>
            <w:tcW w:w="5812" w:type="dxa"/>
            <w:vMerge w:val="restart"/>
            <w:vAlign w:val="center"/>
          </w:tcPr>
          <w:p w14:paraId="7A4107F2" w14:textId="77777777" w:rsidR="00014762" w:rsidRPr="00056785" w:rsidRDefault="00C31EFE" w:rsidP="000507E2">
            <w:pPr>
              <w:widowControl/>
              <w:tabs>
                <w:tab w:val="left" w:pos="0"/>
              </w:tabs>
              <w:ind w:left="0" w:right="0"/>
              <w:jc w:val="both"/>
              <w:rPr>
                <w:sz w:val="24"/>
                <w:szCs w:val="24"/>
              </w:rPr>
            </w:pPr>
            <w:r w:rsidRPr="00056785">
              <w:rPr>
                <w:bCs/>
                <w:sz w:val="24"/>
                <w:szCs w:val="24"/>
              </w:rPr>
              <w:t>В</w:t>
            </w:r>
            <w:r w:rsidR="00014762" w:rsidRPr="00056785">
              <w:rPr>
                <w:sz w:val="24"/>
                <w:szCs w:val="24"/>
              </w:rPr>
              <w:t>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w:t>
            </w:r>
            <w:r w:rsidR="00014762" w:rsidRPr="00056785">
              <w:t xml:space="preserve"> </w:t>
            </w:r>
            <w:r w:rsidR="00014762" w:rsidRPr="00056785">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w:t>
            </w:r>
            <w:r w:rsidRPr="00056785">
              <w:rPr>
                <w:sz w:val="24"/>
                <w:szCs w:val="24"/>
              </w:rPr>
              <w:t xml:space="preserve">є переможцем </w:t>
            </w:r>
            <w:r w:rsidR="00F2784C" w:rsidRPr="00056785">
              <w:rPr>
                <w:sz w:val="24"/>
                <w:szCs w:val="24"/>
              </w:rPr>
              <w:t>процедури закупівлі/</w:t>
            </w:r>
            <w:r w:rsidR="00F2784C" w:rsidRPr="00056785">
              <w:rPr>
                <w:sz w:val="20"/>
              </w:rPr>
              <w:t xml:space="preserve"> </w:t>
            </w:r>
            <w:r w:rsidR="00F2784C" w:rsidRPr="00056785">
              <w:rPr>
                <w:sz w:val="24"/>
                <w:szCs w:val="24"/>
              </w:rPr>
              <w:t xml:space="preserve">службової (посадової) особи </w:t>
            </w:r>
            <w:r w:rsidRPr="00056785">
              <w:rPr>
                <w:sz w:val="24"/>
                <w:szCs w:val="24"/>
              </w:rPr>
              <w:t>переможця</w:t>
            </w:r>
            <w:r w:rsidR="00F2784C" w:rsidRPr="00056785">
              <w:rPr>
                <w:sz w:val="24"/>
                <w:szCs w:val="24"/>
              </w:rPr>
              <w:t xml:space="preserve"> процедури закупівлі</w:t>
            </w:r>
            <w:r w:rsidRPr="00056785">
              <w:rPr>
                <w:sz w:val="24"/>
                <w:szCs w:val="24"/>
              </w:rPr>
              <w:t xml:space="preserve"> (вказати прізвище, ініціали та посаду особи)</w:t>
            </w:r>
            <w:r w:rsidR="00F2784C" w:rsidRPr="00056785">
              <w:rPr>
                <w:sz w:val="24"/>
                <w:szCs w:val="24"/>
              </w:rPr>
              <w:t>, як</w:t>
            </w:r>
            <w:r w:rsidRPr="00056785">
              <w:rPr>
                <w:sz w:val="24"/>
                <w:szCs w:val="24"/>
              </w:rPr>
              <w:t xml:space="preserve">а підписала тендерну пропозицію та/або має повноваження на підписання тендерної пропозиції (за результатами аукціону) та інших документів переможця, в </w:t>
            </w:r>
            <w:proofErr w:type="spellStart"/>
            <w:r w:rsidRPr="00056785">
              <w:rPr>
                <w:sz w:val="24"/>
                <w:szCs w:val="24"/>
              </w:rPr>
              <w:t>т.ч</w:t>
            </w:r>
            <w:proofErr w:type="spellEnd"/>
            <w:r w:rsidRPr="00056785">
              <w:rPr>
                <w:sz w:val="24"/>
                <w:szCs w:val="24"/>
              </w:rPr>
              <w:t>. договору про закупівлю.</w:t>
            </w:r>
          </w:p>
          <w:p w14:paraId="2BDABC16" w14:textId="77777777" w:rsidR="00C31EFE" w:rsidRDefault="00C31EFE" w:rsidP="000507E2">
            <w:pPr>
              <w:widowControl/>
              <w:tabs>
                <w:tab w:val="left" w:pos="0"/>
              </w:tabs>
              <w:ind w:left="0" w:right="0"/>
              <w:jc w:val="both"/>
              <w:rPr>
                <w:color w:val="FF0000"/>
                <w:sz w:val="24"/>
                <w:szCs w:val="24"/>
              </w:rPr>
            </w:pPr>
          </w:p>
          <w:p w14:paraId="016E6480" w14:textId="77777777" w:rsidR="00C31EFE" w:rsidRPr="00056785" w:rsidRDefault="00C31EFE" w:rsidP="000507E2">
            <w:pPr>
              <w:widowControl/>
              <w:tabs>
                <w:tab w:val="left" w:pos="0"/>
              </w:tabs>
              <w:ind w:left="0" w:right="0"/>
              <w:jc w:val="both"/>
              <w:rPr>
                <w:sz w:val="22"/>
                <w:szCs w:val="22"/>
              </w:rPr>
            </w:pPr>
            <w:r w:rsidRPr="00056785">
              <w:rPr>
                <w:kern w:val="2"/>
                <w:sz w:val="22"/>
                <w:szCs w:val="22"/>
                <w:lang w:eastAsia="ar-SA"/>
              </w:rPr>
              <w:t>Примітка. Якщо учасником (переможцем) уповноважено різних осіб підписувати тендерну пропозицію  та підписувати договір про закупівлю, то даний документ необхідно надати на цих осіб.</w:t>
            </w:r>
          </w:p>
          <w:p w14:paraId="03122113" w14:textId="77777777" w:rsidR="00014762" w:rsidRPr="00F2784C" w:rsidRDefault="00014762" w:rsidP="000507E2">
            <w:pPr>
              <w:widowControl/>
              <w:tabs>
                <w:tab w:val="left" w:pos="0"/>
              </w:tabs>
              <w:ind w:left="0" w:right="0"/>
              <w:jc w:val="both"/>
              <w:rPr>
                <w:color w:val="FF0000"/>
                <w:sz w:val="24"/>
                <w:szCs w:val="24"/>
              </w:rPr>
            </w:pPr>
          </w:p>
          <w:p w14:paraId="698B8D93" w14:textId="77777777" w:rsidR="00014762" w:rsidRPr="00071B5A" w:rsidRDefault="00014762" w:rsidP="000507E2">
            <w:pPr>
              <w:widowControl/>
              <w:tabs>
                <w:tab w:val="left" w:pos="0"/>
              </w:tabs>
              <w:ind w:left="0" w:right="0"/>
              <w:jc w:val="both"/>
              <w:rPr>
                <w:sz w:val="24"/>
                <w:szCs w:val="24"/>
              </w:rPr>
            </w:pPr>
          </w:p>
        </w:tc>
      </w:tr>
      <w:tr w:rsidR="00F645B0" w:rsidRPr="00071B5A" w14:paraId="0A48EA31" w14:textId="77777777" w:rsidTr="00056785">
        <w:trPr>
          <w:trHeight w:val="2541"/>
        </w:trPr>
        <w:tc>
          <w:tcPr>
            <w:tcW w:w="4219" w:type="dxa"/>
            <w:vAlign w:val="center"/>
          </w:tcPr>
          <w:p w14:paraId="3E4F5618" w14:textId="77777777" w:rsidR="00F645B0" w:rsidRPr="00071B5A" w:rsidRDefault="00F645B0" w:rsidP="00B76BAE">
            <w:pPr>
              <w:widowControl/>
              <w:tabs>
                <w:tab w:val="left" w:pos="0"/>
              </w:tabs>
              <w:ind w:left="0" w:right="0"/>
              <w:jc w:val="both"/>
              <w:rPr>
                <w:sz w:val="24"/>
                <w:szCs w:val="24"/>
              </w:rPr>
            </w:pPr>
            <w:r w:rsidRPr="00056785">
              <w:rPr>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852437" w:rsidRPr="00056785">
              <w:rPr>
                <w:b/>
                <w:bCs/>
                <w:sz w:val="24"/>
                <w:szCs w:val="24"/>
              </w:rPr>
              <w:t xml:space="preserve"> (пункт 6 частини 1 статті 17 Закону)</w:t>
            </w:r>
          </w:p>
        </w:tc>
        <w:tc>
          <w:tcPr>
            <w:tcW w:w="5812" w:type="dxa"/>
            <w:vMerge/>
            <w:vAlign w:val="center"/>
          </w:tcPr>
          <w:p w14:paraId="04A6B3B5" w14:textId="77777777" w:rsidR="00F645B0" w:rsidRPr="00071B5A" w:rsidRDefault="00F645B0" w:rsidP="00B76BAE">
            <w:pPr>
              <w:widowControl/>
              <w:tabs>
                <w:tab w:val="left" w:pos="0"/>
              </w:tabs>
              <w:ind w:left="0" w:right="0"/>
              <w:jc w:val="both"/>
              <w:rPr>
                <w:sz w:val="24"/>
                <w:szCs w:val="24"/>
              </w:rPr>
            </w:pPr>
          </w:p>
        </w:tc>
      </w:tr>
      <w:tr w:rsidR="00F645B0" w:rsidRPr="00071B5A" w14:paraId="553751F1" w14:textId="77777777" w:rsidTr="00056785">
        <w:trPr>
          <w:trHeight w:val="1003"/>
        </w:trPr>
        <w:tc>
          <w:tcPr>
            <w:tcW w:w="4219" w:type="dxa"/>
            <w:tcBorders>
              <w:top w:val="single" w:sz="4" w:space="0" w:color="auto"/>
              <w:left w:val="single" w:sz="4" w:space="0" w:color="auto"/>
              <w:bottom w:val="single" w:sz="4" w:space="0" w:color="auto"/>
              <w:right w:val="single" w:sz="4" w:space="0" w:color="auto"/>
            </w:tcBorders>
          </w:tcPr>
          <w:p w14:paraId="2A4D1F90" w14:textId="77777777" w:rsidR="00F645B0" w:rsidRPr="00071B5A" w:rsidRDefault="00F645B0" w:rsidP="00B76BAE">
            <w:pPr>
              <w:pStyle w:val="rvps2"/>
              <w:shd w:val="clear" w:color="auto" w:fill="FFFFFF"/>
              <w:spacing w:before="0" w:beforeAutospacing="0" w:after="0" w:afterAutospacing="0"/>
              <w:jc w:val="both"/>
              <w:rPr>
                <w:rStyle w:val="rvts0"/>
              </w:rPr>
            </w:pPr>
            <w:r w:rsidRPr="00071B5A">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w:t>
            </w:r>
            <w:r w:rsidRPr="00056785">
              <w:t xml:space="preserve">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947171" w:rsidRPr="00056785">
              <w:rPr>
                <w:b/>
                <w:bCs/>
              </w:rPr>
              <w:t>(пункт 12 частини 1 статті 17 Закону)</w:t>
            </w:r>
          </w:p>
        </w:tc>
        <w:tc>
          <w:tcPr>
            <w:tcW w:w="5812" w:type="dxa"/>
            <w:tcBorders>
              <w:top w:val="single" w:sz="4" w:space="0" w:color="auto"/>
              <w:left w:val="single" w:sz="4" w:space="0" w:color="auto"/>
              <w:bottom w:val="single" w:sz="4" w:space="0" w:color="auto"/>
              <w:right w:val="single" w:sz="4" w:space="0" w:color="auto"/>
            </w:tcBorders>
          </w:tcPr>
          <w:p w14:paraId="6BC08EE8" w14:textId="77777777" w:rsidR="00F645B0" w:rsidRPr="00D92745" w:rsidRDefault="00F645B0" w:rsidP="00B76BAE">
            <w:pPr>
              <w:pStyle w:val="2"/>
              <w:shd w:val="clear" w:color="auto" w:fill="auto"/>
              <w:spacing w:before="60" w:after="60" w:line="240" w:lineRule="auto"/>
              <w:ind w:firstLine="175"/>
              <w:jc w:val="both"/>
              <w:rPr>
                <w:rStyle w:val="1"/>
                <w:rFonts w:ascii="Times New Roman" w:eastAsia="Calibri" w:hAnsi="Times New Roman" w:cs="Times New Roman"/>
                <w:sz w:val="24"/>
                <w:szCs w:val="24"/>
              </w:rPr>
            </w:pPr>
            <w:r w:rsidRPr="00D92745">
              <w:rPr>
                <w:rFonts w:ascii="Times New Roman" w:hAnsi="Times New Roman" w:cs="Times New Roman"/>
                <w:color w:val="000000"/>
                <w:sz w:val="24"/>
                <w:szCs w:val="24"/>
                <w:lang w:val="uk-UA"/>
              </w:rPr>
              <w:t>Довідка, складена учасником у довільній формі,</w:t>
            </w:r>
            <w:r w:rsidRPr="00D92745">
              <w:rPr>
                <w:rStyle w:val="1"/>
                <w:rFonts w:ascii="Times New Roman" w:hAnsi="Times New Roman" w:cs="Times New Roman"/>
                <w:sz w:val="24"/>
                <w:szCs w:val="24"/>
              </w:rPr>
              <w:t xml:space="preserve"> про те, що службову </w:t>
            </w:r>
            <w:r w:rsidRPr="00D92745">
              <w:rPr>
                <w:rFonts w:ascii="Times New Roman" w:hAnsi="Times New Roman" w:cs="Times New Roman"/>
                <w:color w:val="000000"/>
                <w:sz w:val="24"/>
                <w:szCs w:val="24"/>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w:t>
            </w:r>
            <w:r w:rsidR="00567D82">
              <w:rPr>
                <w:rFonts w:ascii="Times New Roman" w:hAnsi="Times New Roman" w:cs="Times New Roman"/>
                <w:color w:val="000000"/>
                <w:sz w:val="24"/>
                <w:szCs w:val="24"/>
                <w:lang w:val="uk-UA"/>
              </w:rPr>
              <w:t xml:space="preserve"> </w:t>
            </w:r>
            <w:r w:rsidRPr="00D92745">
              <w:rPr>
                <w:rFonts w:ascii="Times New Roman" w:hAnsi="Times New Roman" w:cs="Times New Roman"/>
                <w:color w:val="000000"/>
                <w:sz w:val="24"/>
                <w:szCs w:val="24"/>
                <w:lang w:val="uk-UA"/>
              </w:rPr>
              <w:t>до відповідальності за вчинення правопорушення, пов’язаного з використанням дитячої праці чи будь-якими формами торгівлі людьми.</w:t>
            </w:r>
          </w:p>
        </w:tc>
      </w:tr>
      <w:tr w:rsidR="00F645B0" w:rsidRPr="00071B5A" w14:paraId="6D153DBA" w14:textId="77777777" w:rsidTr="00056785">
        <w:trPr>
          <w:trHeight w:val="1003"/>
        </w:trPr>
        <w:tc>
          <w:tcPr>
            <w:tcW w:w="4219" w:type="dxa"/>
            <w:vAlign w:val="center"/>
          </w:tcPr>
          <w:p w14:paraId="464F6789" w14:textId="77777777" w:rsidR="00F645B0" w:rsidRPr="00071B5A" w:rsidRDefault="00F645B0" w:rsidP="00B76BAE">
            <w:pPr>
              <w:widowControl/>
              <w:tabs>
                <w:tab w:val="left" w:pos="0"/>
              </w:tabs>
              <w:ind w:left="0" w:right="0"/>
              <w:jc w:val="both"/>
              <w:rPr>
                <w:sz w:val="24"/>
                <w:szCs w:val="24"/>
              </w:rPr>
            </w:pPr>
            <w:r w:rsidRPr="00056785">
              <w:rPr>
                <w:sz w:val="24"/>
                <w:szCs w:val="24"/>
              </w:rPr>
              <w:t>Учасник</w:t>
            </w:r>
            <w:r w:rsidR="00E42EDA" w:rsidRPr="00056785">
              <w:rPr>
                <w:sz w:val="24"/>
                <w:szCs w:val="24"/>
              </w:rPr>
              <w:t xml:space="preserve"> процедури закупівлі</w:t>
            </w:r>
            <w:r w:rsidRPr="00056785">
              <w:rPr>
                <w:sz w:val="24"/>
                <w:szCs w:val="24"/>
              </w:rPr>
              <w:t xml:space="preserve"> визнаний у встановленому законом порядку банкрутом та стосовно нього відкрита ліквідаційна процедура.</w:t>
            </w:r>
            <w:r w:rsidR="00DE1EE8" w:rsidRPr="00056785">
              <w:rPr>
                <w:b/>
                <w:bCs/>
                <w:sz w:val="24"/>
                <w:szCs w:val="24"/>
              </w:rPr>
              <w:t xml:space="preserve"> (пункт 8 частини 1 статті 17 Закону)</w:t>
            </w:r>
          </w:p>
        </w:tc>
        <w:tc>
          <w:tcPr>
            <w:tcW w:w="5812" w:type="dxa"/>
            <w:vAlign w:val="center"/>
          </w:tcPr>
          <w:p w14:paraId="35197A25" w14:textId="77777777" w:rsidR="00073FFD" w:rsidRPr="00056785" w:rsidRDefault="00073FFD" w:rsidP="00073FFD">
            <w:pPr>
              <w:widowControl/>
              <w:tabs>
                <w:tab w:val="left" w:pos="0"/>
              </w:tabs>
              <w:ind w:left="0" w:right="0"/>
              <w:jc w:val="both"/>
              <w:rPr>
                <w:sz w:val="24"/>
                <w:szCs w:val="24"/>
              </w:rPr>
            </w:pPr>
            <w:r w:rsidRPr="00056785">
              <w:rPr>
                <w:bCs/>
                <w:sz w:val="24"/>
                <w:szCs w:val="24"/>
                <w:lang w:eastAsia="uk-UA"/>
              </w:rPr>
              <w:t>В умовах воєнного стану відсутній вільний доступ до публічної інформації,  що міститься</w:t>
            </w:r>
            <w:r w:rsidRPr="00056785">
              <w:rPr>
                <w:sz w:val="24"/>
                <w:szCs w:val="24"/>
                <w:lang w:eastAsia="uk-UA"/>
              </w:rPr>
              <w:t xml:space="preserve">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056785">
              <w:rPr>
                <w:bCs/>
                <w:sz w:val="24"/>
                <w:szCs w:val="24"/>
                <w:lang w:eastAsia="uk-UA"/>
              </w:rPr>
              <w:t>,</w:t>
            </w:r>
            <w:r w:rsidRPr="00056785">
              <w:rPr>
                <w:sz w:val="24"/>
                <w:szCs w:val="24"/>
                <w:lang w:eastAsia="uk-UA"/>
              </w:rPr>
              <w:t xml:space="preserve">  тому  </w:t>
            </w:r>
            <w:r w:rsidRPr="00056785">
              <w:rPr>
                <w:sz w:val="24"/>
                <w:szCs w:val="24"/>
              </w:rPr>
              <w:t>Переможець вищевказану  інформацію  надає в довільній формі:</w:t>
            </w:r>
          </w:p>
          <w:p w14:paraId="2D6FB5B5" w14:textId="77777777" w:rsidR="000E05DC" w:rsidRPr="00056785" w:rsidRDefault="000E05DC" w:rsidP="00073FFD">
            <w:pPr>
              <w:pStyle w:val="a8"/>
              <w:widowControl/>
              <w:numPr>
                <w:ilvl w:val="0"/>
                <w:numId w:val="1"/>
              </w:numPr>
              <w:tabs>
                <w:tab w:val="left" w:pos="0"/>
              </w:tabs>
              <w:ind w:right="0"/>
              <w:jc w:val="both"/>
              <w:rPr>
                <w:sz w:val="24"/>
                <w:szCs w:val="24"/>
              </w:rPr>
            </w:pPr>
            <w:r w:rsidRPr="00056785">
              <w:rPr>
                <w:rFonts w:eastAsia="Calibri"/>
                <w:sz w:val="24"/>
                <w:szCs w:val="24"/>
                <w:lang w:eastAsia="uk-UA"/>
              </w:rPr>
              <w:t xml:space="preserve">Гарантійний лист в довільній формі про те, що учасник процедури закупівлі не визнаний у </w:t>
            </w:r>
            <w:r w:rsidRPr="00056785">
              <w:rPr>
                <w:rFonts w:eastAsia="Calibri"/>
                <w:sz w:val="24"/>
                <w:szCs w:val="24"/>
                <w:lang w:eastAsia="uk-UA"/>
              </w:rPr>
              <w:lastRenderedPageBreak/>
              <w:t>встановленому законом порядку банкрутом та стосовно нього не відкрита ліквідаційна процедура.</w:t>
            </w:r>
          </w:p>
          <w:p w14:paraId="319AB98C" w14:textId="77777777" w:rsidR="00B23775" w:rsidRPr="00056785" w:rsidRDefault="00B23775" w:rsidP="000E05DC">
            <w:pPr>
              <w:widowControl/>
              <w:ind w:left="0" w:right="0"/>
              <w:jc w:val="both"/>
              <w:rPr>
                <w:rFonts w:eastAsia="Calibri"/>
                <w:sz w:val="24"/>
                <w:szCs w:val="24"/>
                <w:lang w:eastAsia="uk-UA"/>
              </w:rPr>
            </w:pPr>
          </w:p>
          <w:p w14:paraId="17CCECB4" w14:textId="77777777" w:rsidR="00073FFD" w:rsidRPr="00073FFD" w:rsidRDefault="00073FFD" w:rsidP="000E05DC">
            <w:pPr>
              <w:widowControl/>
              <w:ind w:left="0" w:right="0"/>
              <w:jc w:val="both"/>
              <w:rPr>
                <w:color w:val="FF0000"/>
                <w:kern w:val="2"/>
                <w:sz w:val="24"/>
                <w:szCs w:val="24"/>
                <w:lang w:val="ru-RU" w:eastAsia="ar-SA"/>
              </w:rPr>
            </w:pPr>
            <w:r w:rsidRPr="00056785">
              <w:rPr>
                <w:sz w:val="24"/>
                <w:szCs w:val="24"/>
              </w:rPr>
              <w:t>У разі відновлення роботи сайтів</w:t>
            </w:r>
            <w:r w:rsidRPr="00056785">
              <w:rPr>
                <w:bCs/>
                <w:kern w:val="2"/>
                <w:sz w:val="24"/>
                <w:szCs w:val="24"/>
                <w:lang w:eastAsia="ar-SA"/>
              </w:rPr>
              <w:t xml:space="preserve">, </w:t>
            </w:r>
            <w:r w:rsidR="00B23775" w:rsidRPr="00056785">
              <w:rPr>
                <w:bCs/>
                <w:kern w:val="2"/>
                <w:sz w:val="24"/>
                <w:szCs w:val="24"/>
                <w:lang w:eastAsia="ar-SA"/>
              </w:rPr>
              <w:t xml:space="preserve">Замовник самостійно перевіряє інформацію, що міститься у відкритому реєстрі </w:t>
            </w:r>
            <w:r w:rsidRPr="00056785">
              <w:rPr>
                <w:kern w:val="2"/>
                <w:sz w:val="24"/>
                <w:szCs w:val="24"/>
                <w:lang w:val="ru-RU" w:eastAsia="ar-SA"/>
              </w:rPr>
              <w:t xml:space="preserve"> </w:t>
            </w:r>
            <w:hyperlink r:id="rId6" w:history="1">
              <w:r w:rsidRPr="00056785">
                <w:rPr>
                  <w:rStyle w:val="a5"/>
                  <w:bCs/>
                  <w:i/>
                  <w:color w:val="auto"/>
                  <w:sz w:val="24"/>
                  <w:szCs w:val="24"/>
                  <w:lang w:eastAsia="uk-UA"/>
                </w:rPr>
                <w:t>https://kap.minjust.gov.ua/</w:t>
              </w:r>
            </w:hyperlink>
            <w:r w:rsidRPr="00073FFD">
              <w:rPr>
                <w:bCs/>
                <w:i/>
                <w:color w:val="FF0000"/>
                <w:sz w:val="24"/>
                <w:szCs w:val="24"/>
                <w:lang w:eastAsia="uk-UA"/>
              </w:rPr>
              <w:t>,</w:t>
            </w:r>
          </w:p>
          <w:p w14:paraId="2BA17BC0" w14:textId="77777777" w:rsidR="00F645B0" w:rsidRPr="00071B5A" w:rsidRDefault="00F645B0" w:rsidP="00B76BAE">
            <w:pPr>
              <w:tabs>
                <w:tab w:val="left" w:pos="322"/>
              </w:tabs>
              <w:ind w:left="39" w:right="0"/>
              <w:jc w:val="both"/>
              <w:rPr>
                <w:sz w:val="24"/>
                <w:szCs w:val="24"/>
              </w:rPr>
            </w:pPr>
          </w:p>
        </w:tc>
      </w:tr>
      <w:tr w:rsidR="00F645B0" w:rsidRPr="00071B5A" w14:paraId="4AA0AD03" w14:textId="77777777" w:rsidTr="00056785">
        <w:trPr>
          <w:trHeight w:val="699"/>
        </w:trPr>
        <w:tc>
          <w:tcPr>
            <w:tcW w:w="4219" w:type="dxa"/>
          </w:tcPr>
          <w:p w14:paraId="62EE05A0" w14:textId="77777777" w:rsidR="00F645B0" w:rsidRPr="00056785" w:rsidRDefault="00F645B0" w:rsidP="00B76BAE">
            <w:pPr>
              <w:tabs>
                <w:tab w:val="left" w:pos="0"/>
              </w:tabs>
              <w:ind w:left="0" w:right="0"/>
              <w:jc w:val="both"/>
              <w:rPr>
                <w:sz w:val="24"/>
                <w:szCs w:val="24"/>
              </w:rPr>
            </w:pPr>
            <w:r w:rsidRPr="00056785">
              <w:rPr>
                <w:sz w:val="24"/>
                <w:szCs w:val="24"/>
              </w:rPr>
              <w:lastRenderedPageBreak/>
              <w:t>Учасник</w:t>
            </w:r>
            <w:r w:rsidR="00E42EDA" w:rsidRPr="00056785">
              <w:rPr>
                <w:sz w:val="24"/>
                <w:szCs w:val="24"/>
              </w:rPr>
              <w:t xml:space="preserve"> процедури закупівлі</w:t>
            </w:r>
            <w:r w:rsidRPr="00056785">
              <w:rPr>
                <w:sz w:val="24"/>
                <w:szCs w:val="24"/>
              </w:rPr>
              <w:t xml:space="preserve"> має заборгованість із сплати податків і зборів (обов’язкових платежів),крім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05AAB1B" w14:textId="77777777" w:rsidR="001B0EFA" w:rsidRPr="00056785" w:rsidRDefault="001B0EFA" w:rsidP="001B0EFA">
            <w:pPr>
              <w:widowControl/>
              <w:ind w:left="0" w:right="0"/>
              <w:jc w:val="both"/>
              <w:rPr>
                <w:rFonts w:eastAsia="Calibri"/>
                <w:b/>
                <w:bCs/>
                <w:sz w:val="24"/>
                <w:szCs w:val="24"/>
                <w:lang w:eastAsia="uk-UA"/>
              </w:rPr>
            </w:pPr>
            <w:r w:rsidRPr="00056785">
              <w:rPr>
                <w:rFonts w:eastAsia="Calibri"/>
                <w:b/>
                <w:bCs/>
                <w:sz w:val="24"/>
                <w:szCs w:val="24"/>
                <w:lang w:eastAsia="uk-UA"/>
              </w:rPr>
              <w:t>(пункт 13 частини 1 статті 17 Закону)</w:t>
            </w:r>
          </w:p>
          <w:p w14:paraId="11631ECD" w14:textId="77777777" w:rsidR="001B0EFA" w:rsidRPr="00071B5A" w:rsidRDefault="001B0EFA" w:rsidP="00B76BAE">
            <w:pPr>
              <w:tabs>
                <w:tab w:val="left" w:pos="0"/>
              </w:tabs>
              <w:ind w:left="0" w:right="0"/>
              <w:jc w:val="both"/>
              <w:rPr>
                <w:sz w:val="24"/>
                <w:szCs w:val="24"/>
              </w:rPr>
            </w:pPr>
          </w:p>
        </w:tc>
        <w:tc>
          <w:tcPr>
            <w:tcW w:w="5812" w:type="dxa"/>
            <w:vAlign w:val="center"/>
          </w:tcPr>
          <w:p w14:paraId="593A1C11" w14:textId="77777777" w:rsidR="00532837" w:rsidRPr="009F48A6" w:rsidRDefault="00532837" w:rsidP="00331AB9">
            <w:pPr>
              <w:pStyle w:val="a3"/>
              <w:spacing w:before="0" w:beforeAutospacing="0" w:after="0" w:afterAutospacing="0"/>
              <w:jc w:val="both"/>
              <w:rPr>
                <w:lang w:eastAsia="ar-SA"/>
              </w:rPr>
            </w:pPr>
            <w:r w:rsidRPr="009F48A6">
              <w:rPr>
                <w:lang w:eastAsia="ar-SA"/>
              </w:rPr>
              <w:t xml:space="preserve">Довідка про відсутність заборгованості зі сплати податків і зборів (обов’язкових платежів) автоматично формується у електронній системі </w:t>
            </w:r>
            <w:proofErr w:type="spellStart"/>
            <w:r w:rsidRPr="009F48A6">
              <w:rPr>
                <w:lang w:eastAsia="ar-SA"/>
              </w:rPr>
              <w:t>закупівель</w:t>
            </w:r>
            <w:proofErr w:type="spellEnd"/>
            <w:r w:rsidRPr="009F48A6">
              <w:rPr>
                <w:lang w:eastAsia="ar-SA"/>
              </w:rPr>
              <w:t xml:space="preserve"> в результаті інтеграції електронної системи </w:t>
            </w:r>
            <w:proofErr w:type="spellStart"/>
            <w:r w:rsidRPr="009F48A6">
              <w:rPr>
                <w:lang w:eastAsia="ar-SA"/>
              </w:rPr>
              <w:t>закупівель</w:t>
            </w:r>
            <w:proofErr w:type="spellEnd"/>
            <w:r w:rsidRPr="009F48A6">
              <w:rPr>
                <w:lang w:eastAsia="ar-SA"/>
              </w:rPr>
              <w:t xml:space="preserve"> з інформаційними системами Державної фіскальної служби України</w:t>
            </w:r>
          </w:p>
          <w:p w14:paraId="25538D39" w14:textId="77777777" w:rsidR="00532837" w:rsidRPr="009F48A6" w:rsidRDefault="00532837" w:rsidP="00331AB9">
            <w:pPr>
              <w:pStyle w:val="a3"/>
              <w:spacing w:before="0" w:beforeAutospacing="0" w:after="0" w:afterAutospacing="0"/>
              <w:jc w:val="both"/>
              <w:rPr>
                <w:lang w:eastAsia="ar-SA"/>
              </w:rPr>
            </w:pPr>
            <w:r w:rsidRPr="009F48A6">
              <w:rPr>
                <w:lang w:eastAsia="ar-SA"/>
              </w:rPr>
              <w:t>або</w:t>
            </w:r>
          </w:p>
          <w:p w14:paraId="115D7D68" w14:textId="77777777" w:rsidR="004C4426" w:rsidRPr="00331AB9" w:rsidRDefault="00532837" w:rsidP="00331AB9">
            <w:pPr>
              <w:pStyle w:val="a3"/>
              <w:spacing w:before="0" w:beforeAutospacing="0" w:after="0" w:afterAutospacing="0"/>
              <w:jc w:val="both"/>
              <w:rPr>
                <w:rFonts w:eastAsia="Calibri"/>
                <w:color w:val="FF0000"/>
              </w:rPr>
            </w:pPr>
            <w:r w:rsidRPr="009F48A6">
              <w:rPr>
                <w:lang w:eastAsia="ar-SA"/>
              </w:rPr>
              <w:t xml:space="preserve">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  </w:t>
            </w:r>
          </w:p>
        </w:tc>
      </w:tr>
      <w:tr w:rsidR="00F645B0" w:rsidRPr="00071B5A" w14:paraId="7E8380BF" w14:textId="77777777" w:rsidTr="00056785">
        <w:trPr>
          <w:trHeight w:val="1003"/>
        </w:trPr>
        <w:tc>
          <w:tcPr>
            <w:tcW w:w="4219" w:type="dxa"/>
          </w:tcPr>
          <w:p w14:paraId="111A28B4" w14:textId="77777777" w:rsidR="00F645B0" w:rsidRPr="00071B5A" w:rsidRDefault="00F645B0" w:rsidP="00B76BAE">
            <w:pPr>
              <w:tabs>
                <w:tab w:val="left" w:pos="0"/>
              </w:tabs>
              <w:ind w:left="0" w:right="0"/>
              <w:jc w:val="both"/>
              <w:rPr>
                <w:sz w:val="24"/>
                <w:szCs w:val="24"/>
              </w:rPr>
            </w:pPr>
            <w:r w:rsidRPr="009F48A6">
              <w:rPr>
                <w:sz w:val="24"/>
                <w:szCs w:val="24"/>
              </w:rPr>
              <w:t>Учасник</w:t>
            </w:r>
            <w:r w:rsidR="001564AD" w:rsidRPr="009F48A6">
              <w:rPr>
                <w:sz w:val="24"/>
                <w:szCs w:val="24"/>
              </w:rPr>
              <w:t xml:space="preserve"> процедури закупівлі</w:t>
            </w:r>
            <w:r w:rsidRPr="009F48A6">
              <w:rPr>
                <w:sz w:val="24"/>
                <w:szCs w:val="24"/>
              </w:rPr>
              <w:t xml:space="preserve"> не виконав свої зобов’язання за раніше укладеним договором про закупівлю з замовником, що призвело до його дострокового розірвання</w:t>
            </w:r>
            <w:r w:rsidRPr="00071B5A">
              <w:rPr>
                <w:sz w:val="24"/>
                <w:szCs w:val="24"/>
              </w:rPr>
              <w:t>,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812" w:type="dxa"/>
            <w:vAlign w:val="center"/>
          </w:tcPr>
          <w:p w14:paraId="33984859" w14:textId="77777777" w:rsidR="00F645B0" w:rsidRPr="00071B5A" w:rsidRDefault="00F645B0" w:rsidP="00B76BAE">
            <w:pPr>
              <w:widowControl/>
              <w:tabs>
                <w:tab w:val="left" w:pos="0"/>
              </w:tabs>
              <w:ind w:left="0" w:right="0"/>
              <w:jc w:val="both"/>
              <w:rPr>
                <w:sz w:val="24"/>
                <w:szCs w:val="24"/>
              </w:rPr>
            </w:pPr>
            <w:r w:rsidRPr="00071B5A">
              <w:rPr>
                <w:color w:val="000000"/>
                <w:sz w:val="24"/>
                <w:szCs w:val="24"/>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071B5A">
              <w:rPr>
                <w:sz w:val="24"/>
                <w:szCs w:val="24"/>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41C58B1" w14:textId="77777777" w:rsidR="00F645B0" w:rsidRPr="00071B5A" w:rsidRDefault="00F645B0" w:rsidP="00B76BAE">
            <w:pPr>
              <w:widowControl/>
              <w:tabs>
                <w:tab w:val="left" w:pos="0"/>
              </w:tabs>
              <w:ind w:left="0" w:right="0"/>
              <w:jc w:val="both"/>
              <w:rPr>
                <w:sz w:val="24"/>
                <w:szCs w:val="24"/>
              </w:rPr>
            </w:pPr>
          </w:p>
        </w:tc>
      </w:tr>
    </w:tbl>
    <w:p w14:paraId="15EF28BC" w14:textId="77777777" w:rsidR="00F645B0" w:rsidRPr="00071B5A" w:rsidRDefault="00F645B0" w:rsidP="00F645B0">
      <w:pPr>
        <w:widowControl/>
        <w:tabs>
          <w:tab w:val="left" w:pos="151"/>
        </w:tabs>
        <w:ind w:left="151" w:right="121"/>
        <w:jc w:val="both"/>
        <w:outlineLvl w:val="0"/>
        <w:rPr>
          <w:b/>
          <w:sz w:val="24"/>
          <w:szCs w:val="24"/>
        </w:rPr>
      </w:pPr>
    </w:p>
    <w:p w14:paraId="12FA65D4" w14:textId="77777777" w:rsidR="00F645B0" w:rsidRPr="00071B5A" w:rsidRDefault="00F645B0" w:rsidP="00F645B0">
      <w:pPr>
        <w:widowControl/>
        <w:tabs>
          <w:tab w:val="left" w:pos="151"/>
        </w:tabs>
        <w:ind w:left="151" w:right="121"/>
        <w:jc w:val="both"/>
        <w:outlineLvl w:val="0"/>
        <w:rPr>
          <w:bCs/>
          <w:i/>
          <w:iCs/>
          <w:sz w:val="24"/>
          <w:szCs w:val="24"/>
        </w:rPr>
      </w:pPr>
      <w:r w:rsidRPr="00071B5A">
        <w:rPr>
          <w:bCs/>
          <w:i/>
          <w:iCs/>
          <w:sz w:val="24"/>
          <w:szCs w:val="24"/>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2B212BF7" w14:textId="77777777" w:rsidR="00F645B0" w:rsidRPr="00071B5A" w:rsidRDefault="00F645B0" w:rsidP="00F645B0">
      <w:pPr>
        <w:widowControl/>
        <w:tabs>
          <w:tab w:val="left" w:pos="151"/>
        </w:tabs>
        <w:ind w:left="151" w:right="121"/>
        <w:jc w:val="both"/>
        <w:outlineLvl w:val="0"/>
        <w:rPr>
          <w:bCs/>
          <w:i/>
          <w:iCs/>
          <w:sz w:val="24"/>
          <w:szCs w:val="24"/>
        </w:rPr>
      </w:pPr>
    </w:p>
    <w:p w14:paraId="32A0742E" w14:textId="77777777" w:rsidR="00F645B0" w:rsidRPr="00071B5A" w:rsidRDefault="00F645B0" w:rsidP="00F645B0">
      <w:pPr>
        <w:widowControl/>
        <w:tabs>
          <w:tab w:val="left" w:pos="151"/>
        </w:tabs>
        <w:ind w:left="151" w:right="121"/>
        <w:jc w:val="both"/>
        <w:outlineLvl w:val="0"/>
        <w:rPr>
          <w:bCs/>
          <w:i/>
          <w:iCs/>
          <w:sz w:val="24"/>
          <w:szCs w:val="24"/>
        </w:rPr>
      </w:pPr>
      <w:r w:rsidRPr="00071B5A">
        <w:rPr>
          <w:bCs/>
          <w:i/>
          <w:iCs/>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5095CD32" w14:textId="77777777" w:rsidR="00F645B0" w:rsidRPr="00071B5A" w:rsidRDefault="00F645B0" w:rsidP="00F645B0">
      <w:pPr>
        <w:widowControl/>
        <w:tabs>
          <w:tab w:val="left" w:pos="151"/>
        </w:tabs>
        <w:ind w:left="151" w:right="121"/>
        <w:jc w:val="both"/>
        <w:outlineLvl w:val="0"/>
        <w:rPr>
          <w:bCs/>
          <w:i/>
          <w:iCs/>
          <w:sz w:val="24"/>
          <w:szCs w:val="24"/>
        </w:rPr>
      </w:pPr>
    </w:p>
    <w:p w14:paraId="1DEDD1C1" w14:textId="77777777" w:rsidR="00053097" w:rsidRDefault="009F48A6"/>
    <w:sectPr w:rsidR="00053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6366B"/>
    <w:multiLevelType w:val="hybridMultilevel"/>
    <w:tmpl w:val="84A05E9A"/>
    <w:lvl w:ilvl="0" w:tplc="27066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150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6B"/>
    <w:rsid w:val="00014762"/>
    <w:rsid w:val="000507E2"/>
    <w:rsid w:val="00056785"/>
    <w:rsid w:val="00073FFD"/>
    <w:rsid w:val="000E05DC"/>
    <w:rsid w:val="001564AD"/>
    <w:rsid w:val="001B0EFA"/>
    <w:rsid w:val="00222055"/>
    <w:rsid w:val="00331AB9"/>
    <w:rsid w:val="00403DF7"/>
    <w:rsid w:val="00452483"/>
    <w:rsid w:val="004C4426"/>
    <w:rsid w:val="00532837"/>
    <w:rsid w:val="00567D82"/>
    <w:rsid w:val="00651AF5"/>
    <w:rsid w:val="00653C87"/>
    <w:rsid w:val="006A01D5"/>
    <w:rsid w:val="0073526B"/>
    <w:rsid w:val="007B2226"/>
    <w:rsid w:val="00852437"/>
    <w:rsid w:val="008939F9"/>
    <w:rsid w:val="008A569A"/>
    <w:rsid w:val="00947171"/>
    <w:rsid w:val="009C6694"/>
    <w:rsid w:val="009E18BC"/>
    <w:rsid w:val="009F48A6"/>
    <w:rsid w:val="00AD0AE2"/>
    <w:rsid w:val="00B04FC1"/>
    <w:rsid w:val="00B23775"/>
    <w:rsid w:val="00BB1EBD"/>
    <w:rsid w:val="00BF6FBB"/>
    <w:rsid w:val="00C31EFE"/>
    <w:rsid w:val="00C51DF5"/>
    <w:rsid w:val="00C57948"/>
    <w:rsid w:val="00D3432F"/>
    <w:rsid w:val="00D92745"/>
    <w:rsid w:val="00DE1EE8"/>
    <w:rsid w:val="00E17786"/>
    <w:rsid w:val="00E42EDA"/>
    <w:rsid w:val="00F2784C"/>
    <w:rsid w:val="00F645B0"/>
    <w:rsid w:val="00FE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8691"/>
  <w15:docId w15:val="{F1DB3185-81ED-4613-BA1B-7FDB96B3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073FFD"/>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17"/>
    <w:basedOn w:val="a"/>
    <w:link w:val="a4"/>
    <w:qFormat/>
    <w:rsid w:val="00F645B0"/>
    <w:pPr>
      <w:widowControl/>
      <w:spacing w:before="100" w:beforeAutospacing="1" w:after="100" w:afterAutospacing="1"/>
      <w:ind w:left="0" w:right="0"/>
      <w:jc w:val="left"/>
    </w:pPr>
    <w:rPr>
      <w:sz w:val="24"/>
      <w:szCs w:val="24"/>
    </w:rPr>
  </w:style>
  <w:style w:type="character" w:styleId="a5">
    <w:name w:val="Hyperlink"/>
    <w:rsid w:val="00F645B0"/>
    <w:rPr>
      <w:color w:val="0000FF"/>
      <w:u w:val="single"/>
    </w:rPr>
  </w:style>
  <w:style w:type="character" w:customStyle="1" w:styleId="a6">
    <w:name w:val="Основной текст_"/>
    <w:link w:val="2"/>
    <w:rsid w:val="00F645B0"/>
    <w:rPr>
      <w:shd w:val="clear" w:color="auto" w:fill="FFFFFF"/>
    </w:rPr>
  </w:style>
  <w:style w:type="character" w:customStyle="1" w:styleId="1">
    <w:name w:val="Основной текст1"/>
    <w:rsid w:val="00F645B0"/>
    <w:rPr>
      <w:color w:val="000000"/>
      <w:spacing w:val="0"/>
      <w:w w:val="100"/>
      <w:position w:val="0"/>
      <w:sz w:val="22"/>
      <w:szCs w:val="22"/>
      <w:shd w:val="clear" w:color="auto" w:fill="FFFFFF"/>
      <w:lang w:val="uk-UA"/>
    </w:rPr>
  </w:style>
  <w:style w:type="paragraph" w:customStyle="1" w:styleId="2">
    <w:name w:val="Основной текст2"/>
    <w:basedOn w:val="a"/>
    <w:link w:val="a6"/>
    <w:rsid w:val="00F645B0"/>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rvts0">
    <w:name w:val="rvts0"/>
    <w:rsid w:val="00F645B0"/>
    <w:rPr>
      <w:rFonts w:cs="Times New Roman"/>
    </w:rPr>
  </w:style>
  <w:style w:type="paragraph" w:customStyle="1" w:styleId="rvps2">
    <w:name w:val="rvps2"/>
    <w:basedOn w:val="a"/>
    <w:rsid w:val="00F645B0"/>
    <w:pPr>
      <w:widowControl/>
      <w:spacing w:before="100" w:beforeAutospacing="1" w:after="100" w:afterAutospacing="1"/>
      <w:ind w:left="0" w:right="0"/>
      <w:jc w:val="left"/>
    </w:pPr>
    <w:rPr>
      <w:rFonts w:eastAsia="Calibri"/>
      <w:sz w:val="24"/>
      <w:szCs w:val="24"/>
      <w:lang w:eastAsia="uk-UA"/>
    </w:rPr>
  </w:style>
  <w:style w:type="character" w:customStyle="1" w:styleId="a4">
    <w:name w:val="Обычный (Интернет) Знак"/>
    <w:aliases w:val="Normal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F645B0"/>
    <w:rPr>
      <w:rFonts w:ascii="Times New Roman" w:eastAsia="Times New Roman" w:hAnsi="Times New Roman" w:cs="Times New Roman"/>
      <w:sz w:val="24"/>
      <w:szCs w:val="24"/>
      <w:lang w:val="uk-UA" w:eastAsia="ru-RU"/>
    </w:rPr>
  </w:style>
  <w:style w:type="paragraph" w:styleId="a7">
    <w:name w:val="No Spacing"/>
    <w:uiPriority w:val="1"/>
    <w:qFormat/>
    <w:rsid w:val="00222055"/>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a8">
    <w:name w:val="List Paragraph"/>
    <w:basedOn w:val="a"/>
    <w:uiPriority w:val="34"/>
    <w:qFormat/>
    <w:rsid w:val="0007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p.minjus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F5E0-66ED-4A5B-88EF-7FE6B673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2021-09-28T12:08:00Z</dcterms:created>
  <dcterms:modified xsi:type="dcterms:W3CDTF">2022-06-07T11:21:00Z</dcterms:modified>
</cp:coreProperties>
</file>