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1B" w:rsidRDefault="00CB1A1B" w:rsidP="00CB1A1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p>
    <w:p w:rsidR="00CB1A1B" w:rsidRDefault="00CB1A1B" w:rsidP="00CB1A1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rsidR="00CB1A1B" w:rsidRDefault="00CB1A1B" w:rsidP="00CB1A1B">
      <w:pPr>
        <w:spacing w:after="0" w:line="240" w:lineRule="auto"/>
        <w:ind w:left="5660"/>
        <w:jc w:val="right"/>
        <w:rPr>
          <w:rFonts w:ascii="Times New Roman" w:eastAsia="Times New Roman" w:hAnsi="Times New Roman" w:cs="Times New Roman"/>
          <w:sz w:val="24"/>
          <w:szCs w:val="24"/>
        </w:rPr>
      </w:pPr>
    </w:p>
    <w:p w:rsidR="00CB1A1B" w:rsidRDefault="00CB1A1B" w:rsidP="00CB1A1B">
      <w:pPr>
        <w:shd w:val="clear" w:color="auto" w:fill="FFFFFF"/>
        <w:spacing w:after="24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Технічні, якісні, кількісні та інші вимоги до предмета закупівлі</w:t>
      </w:r>
    </w:p>
    <w:p w:rsidR="00CB1A1B" w:rsidRDefault="00CB1A1B" w:rsidP="00CB1A1B">
      <w:pPr>
        <w:pStyle w:val="1"/>
        <w:spacing w:before="120"/>
        <w:jc w:val="center"/>
        <w:rPr>
          <w:rFonts w:ascii="Times New Roman" w:hAnsi="Times New Roman" w:cs="Times New Roman"/>
          <w:sz w:val="24"/>
          <w:szCs w:val="24"/>
        </w:rPr>
      </w:pPr>
      <w:r>
        <w:rPr>
          <w:rFonts w:ascii="Times New Roman" w:hAnsi="Times New Roman" w:cs="Times New Roman"/>
          <w:sz w:val="24"/>
          <w:szCs w:val="24"/>
        </w:rPr>
        <w:t xml:space="preserve">ОПИС ТА ОСНОВНІ ВИМОГИ </w:t>
      </w:r>
      <w:r>
        <w:rPr>
          <w:rFonts w:ascii="Times New Roman" w:hAnsi="Times New Roman" w:cs="Times New Roman"/>
          <w:caps/>
          <w:sz w:val="24"/>
          <w:szCs w:val="24"/>
        </w:rPr>
        <w:t>до предмету закупівлі</w:t>
      </w:r>
    </w:p>
    <w:p w:rsidR="00CB1A1B" w:rsidRDefault="00533148" w:rsidP="00533148">
      <w:pPr>
        <w:jc w:val="center"/>
        <w:rPr>
          <w:rFonts w:ascii="Times New Roman" w:hAnsi="Times New Roman" w:cs="Times New Roman"/>
          <w:color w:val="000000"/>
          <w:sz w:val="24"/>
          <w:szCs w:val="24"/>
        </w:rPr>
      </w:pPr>
      <w:r w:rsidRPr="00533148">
        <w:rPr>
          <w:rFonts w:ascii="Times New Roman" w:hAnsi="Times New Roman" w:cs="Times New Roman"/>
          <w:b/>
          <w:sz w:val="24"/>
          <w:szCs w:val="24"/>
        </w:rPr>
        <w:t xml:space="preserve">ДК 021:2015 </w:t>
      </w:r>
      <w:r>
        <w:rPr>
          <w:rFonts w:ascii="Times New Roman" w:hAnsi="Times New Roman" w:cs="Times New Roman"/>
          <w:b/>
          <w:sz w:val="24"/>
          <w:szCs w:val="24"/>
        </w:rPr>
        <w:t xml:space="preserve">: </w:t>
      </w:r>
      <w:r w:rsidRPr="00533148">
        <w:rPr>
          <w:rFonts w:ascii="Times New Roman" w:hAnsi="Times New Roman" w:cs="Times New Roman"/>
          <w:b/>
          <w:sz w:val="24"/>
          <w:szCs w:val="24"/>
        </w:rPr>
        <w:t>09110000-3 Тверде паливо</w:t>
      </w:r>
    </w:p>
    <w:tbl>
      <w:tblPr>
        <w:tblW w:w="91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223"/>
      </w:tblGrid>
      <w:tr w:rsidR="00CB1A1B" w:rsidTr="00F20957">
        <w:trPr>
          <w:trHeight w:val="919"/>
        </w:trPr>
        <w:tc>
          <w:tcPr>
            <w:tcW w:w="4899" w:type="dxa"/>
            <w:tcBorders>
              <w:top w:val="single" w:sz="4" w:space="0" w:color="auto"/>
              <w:left w:val="single" w:sz="4" w:space="0" w:color="auto"/>
              <w:bottom w:val="single" w:sz="4" w:space="0" w:color="auto"/>
              <w:right w:val="single" w:sz="4" w:space="0" w:color="auto"/>
            </w:tcBorders>
          </w:tcPr>
          <w:p w:rsidR="00CB1A1B" w:rsidRDefault="00CB1A1B" w:rsidP="006437C2">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w:t>
            </w:r>
          </w:p>
          <w:p w:rsidR="00CB1A1B" w:rsidRDefault="00CB1A1B" w:rsidP="006437C2">
            <w:pPr>
              <w:tabs>
                <w:tab w:val="left" w:pos="0"/>
              </w:tabs>
              <w:spacing w:line="256" w:lineRule="auto"/>
              <w:jc w:val="center"/>
              <w:rPr>
                <w:rFonts w:ascii="Times New Roman" w:hAnsi="Times New Roman" w:cs="Times New Roman"/>
                <w:b/>
                <w:bCs/>
                <w:sz w:val="24"/>
                <w:szCs w:val="24"/>
                <w:lang w:eastAsia="uk-UA"/>
              </w:rPr>
            </w:pPr>
          </w:p>
        </w:tc>
        <w:tc>
          <w:tcPr>
            <w:tcW w:w="4223" w:type="dxa"/>
            <w:tcBorders>
              <w:top w:val="single" w:sz="4" w:space="0" w:color="auto"/>
              <w:left w:val="single" w:sz="4" w:space="0" w:color="auto"/>
              <w:bottom w:val="single" w:sz="4" w:space="0" w:color="auto"/>
              <w:right w:val="single" w:sz="4" w:space="0" w:color="auto"/>
            </w:tcBorders>
            <w:hideMark/>
          </w:tcPr>
          <w:p w:rsidR="00CB1A1B" w:rsidRDefault="00CB1A1B" w:rsidP="006437C2">
            <w:pPr>
              <w:jc w:val="center"/>
              <w:rPr>
                <w:rFonts w:ascii="Times New Roman" w:hAnsi="Times New Roman" w:cs="Times New Roman"/>
                <w:b/>
                <w:bCs/>
                <w:sz w:val="24"/>
                <w:szCs w:val="24"/>
              </w:rPr>
            </w:pPr>
            <w:r>
              <w:rPr>
                <w:rFonts w:ascii="Times New Roman" w:hAnsi="Times New Roman" w:cs="Times New Roman"/>
                <w:b/>
                <w:bCs/>
                <w:sz w:val="24"/>
                <w:szCs w:val="24"/>
              </w:rPr>
              <w:t>Кількість,</w:t>
            </w:r>
          </w:p>
          <w:p w:rsidR="00CB1A1B" w:rsidRDefault="00533148" w:rsidP="006437C2">
            <w:pPr>
              <w:spacing w:line="256"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rPr>
              <w:t>тонн</w:t>
            </w:r>
          </w:p>
        </w:tc>
      </w:tr>
      <w:tr w:rsidR="00CB1A1B" w:rsidTr="00F20957">
        <w:trPr>
          <w:trHeight w:val="342"/>
        </w:trPr>
        <w:tc>
          <w:tcPr>
            <w:tcW w:w="4899" w:type="dxa"/>
            <w:tcBorders>
              <w:top w:val="single" w:sz="4" w:space="0" w:color="auto"/>
              <w:left w:val="single" w:sz="4" w:space="0" w:color="auto"/>
              <w:bottom w:val="single" w:sz="4" w:space="0" w:color="auto"/>
              <w:right w:val="single" w:sz="4" w:space="0" w:color="auto"/>
            </w:tcBorders>
            <w:vAlign w:val="center"/>
            <w:hideMark/>
          </w:tcPr>
          <w:p w:rsidR="00CB1A1B" w:rsidRDefault="00533148" w:rsidP="006437C2">
            <w:pPr>
              <w:spacing w:line="256" w:lineRule="auto"/>
              <w:jc w:val="center"/>
              <w:rPr>
                <w:rFonts w:ascii="Times New Roman" w:hAnsi="Times New Roman" w:cs="Times New Roman"/>
                <w:bCs/>
                <w:sz w:val="24"/>
                <w:szCs w:val="24"/>
                <w:lang w:eastAsia="uk-UA"/>
              </w:rPr>
            </w:pPr>
            <w:r>
              <w:rPr>
                <w:rFonts w:ascii="Times New Roman" w:hAnsi="Times New Roman" w:cs="Times New Roman"/>
                <w:bCs/>
                <w:sz w:val="24"/>
                <w:szCs w:val="24"/>
              </w:rPr>
              <w:t>Брикети торфові</w:t>
            </w:r>
          </w:p>
        </w:tc>
        <w:tc>
          <w:tcPr>
            <w:tcW w:w="4223" w:type="dxa"/>
            <w:tcBorders>
              <w:top w:val="single" w:sz="4" w:space="0" w:color="auto"/>
              <w:left w:val="single" w:sz="4" w:space="0" w:color="auto"/>
              <w:bottom w:val="single" w:sz="4" w:space="0" w:color="auto"/>
              <w:right w:val="single" w:sz="4" w:space="0" w:color="auto"/>
            </w:tcBorders>
            <w:vAlign w:val="center"/>
            <w:hideMark/>
          </w:tcPr>
          <w:p w:rsidR="00CB1A1B" w:rsidRPr="00016D74" w:rsidRDefault="00016D74" w:rsidP="006437C2">
            <w:pPr>
              <w:spacing w:line="256" w:lineRule="auto"/>
              <w:ind w:right="285" w:firstLine="252"/>
              <w:jc w:val="center"/>
              <w:rPr>
                <w:rFonts w:ascii="Times New Roman" w:hAnsi="Times New Roman" w:cs="Times New Roman"/>
                <w:sz w:val="24"/>
                <w:szCs w:val="24"/>
                <w:lang w:eastAsia="uk-UA"/>
              </w:rPr>
            </w:pPr>
            <w:r w:rsidRPr="00016D74">
              <w:rPr>
                <w:rFonts w:ascii="Times New Roman" w:hAnsi="Times New Roman" w:cs="Times New Roman"/>
                <w:sz w:val="24"/>
                <w:szCs w:val="24"/>
              </w:rPr>
              <w:t>157</w:t>
            </w:r>
          </w:p>
        </w:tc>
      </w:tr>
    </w:tbl>
    <w:p w:rsidR="00CB1A1B" w:rsidRDefault="00CB1A1B" w:rsidP="00CB1A1B">
      <w:pPr>
        <w:pStyle w:val="a4"/>
        <w:shd w:val="clear" w:color="auto" w:fill="FFFFFF"/>
        <w:spacing w:before="0" w:beforeAutospacing="0" w:after="0" w:afterAutospacing="0"/>
        <w:jc w:val="both"/>
        <w:rPr>
          <w:bCs/>
        </w:rPr>
      </w:pP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 xml:space="preserve">1. До ціни тендерної пропозиції включаються наступні витрати: </w:t>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w:t>
      </w:r>
      <w:r w:rsidRPr="00533148">
        <w:rPr>
          <w:rFonts w:ascii="Times New Roman" w:eastAsia="Times New Roman" w:hAnsi="Times New Roman" w:cs="Times New Roman"/>
          <w:color w:val="00000A"/>
          <w:sz w:val="24"/>
          <w:szCs w:val="24"/>
          <w:lang w:eastAsia="zh-CN" w:bidi="hi-IN"/>
        </w:rPr>
        <w:tab/>
        <w:t>податки і збори, обов’язкові платежі, що сплачуються або мають бути сплачені згідно з чинним законодавством;</w:t>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w:t>
      </w:r>
      <w:r w:rsidRPr="00533148">
        <w:rPr>
          <w:rFonts w:ascii="Times New Roman" w:eastAsia="Times New Roman" w:hAnsi="Times New Roman" w:cs="Times New Roman"/>
          <w:color w:val="00000A"/>
          <w:sz w:val="24"/>
          <w:szCs w:val="24"/>
          <w:lang w:eastAsia="zh-CN" w:bidi="hi-IN"/>
        </w:rPr>
        <w:tab/>
        <w:t>витрати на поставку товару до місця поставки;</w:t>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w:t>
      </w:r>
      <w:r w:rsidRPr="00533148">
        <w:rPr>
          <w:rFonts w:ascii="Times New Roman" w:eastAsia="Times New Roman" w:hAnsi="Times New Roman" w:cs="Times New Roman"/>
          <w:color w:val="00000A"/>
          <w:sz w:val="24"/>
          <w:szCs w:val="24"/>
          <w:lang w:eastAsia="zh-CN" w:bidi="hi-IN"/>
        </w:rPr>
        <w:tab/>
        <w:t>навантаження, розвантаження;</w:t>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w:t>
      </w:r>
      <w:r w:rsidRPr="00533148">
        <w:rPr>
          <w:rFonts w:ascii="Times New Roman" w:eastAsia="Times New Roman" w:hAnsi="Times New Roman" w:cs="Times New Roman"/>
          <w:color w:val="00000A"/>
          <w:sz w:val="24"/>
          <w:szCs w:val="24"/>
          <w:lang w:eastAsia="zh-CN" w:bidi="hi-IN"/>
        </w:rPr>
        <w:tab/>
        <w:t>інші витрати, передбачені для товару даного виду згідно з чинним законодавством та цим оголошенням.</w:t>
      </w:r>
    </w:p>
    <w:p w:rsid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ab/>
      </w:r>
      <w:r w:rsidRPr="00533148">
        <w:rPr>
          <w:rFonts w:ascii="Times New Roman" w:eastAsia="Times New Roman" w:hAnsi="Times New Roman" w:cs="Times New Roman"/>
          <w:color w:val="00000A"/>
          <w:sz w:val="24"/>
          <w:szCs w:val="24"/>
          <w:lang w:eastAsia="zh-CN" w:bidi="hi-IN"/>
        </w:rPr>
        <w:tab/>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3. Бюджетні зобов’язання за договором виникають у разі наявності та в межах відповідних бюджетних асигнувань.</w:t>
      </w:r>
    </w:p>
    <w:p w:rsid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ab/>
      </w:r>
      <w:r w:rsidRPr="00533148">
        <w:rPr>
          <w:rFonts w:ascii="Times New Roman" w:eastAsia="Times New Roman" w:hAnsi="Times New Roman" w:cs="Times New Roman"/>
          <w:color w:val="00000A"/>
          <w:sz w:val="24"/>
          <w:szCs w:val="24"/>
          <w:lang w:eastAsia="zh-CN" w:bidi="hi-IN"/>
        </w:rPr>
        <w:tab/>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4. Поставка (передача) товару здійснюється транспортом учасника-переможця згідно наданих заявок замовником (при необхідності замовник може вимагати поставку дрібними партіями). Учасник повинен в складі пропозиції надати гарантійний лист (від учасника торгів) щодо забезпечення поставки брикетів торфових до 31 грудня 2023 року згідно наданих заявок замовником, а також зазначити можливість поставки дрібними партіями.</w:t>
      </w:r>
    </w:p>
    <w:p w:rsid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p>
    <w:p w:rsidR="00533148" w:rsidRPr="00533148" w:rsidRDefault="00533148" w:rsidP="00533148">
      <w:pPr>
        <w:widowControl w:val="0"/>
        <w:spacing w:after="0" w:line="240" w:lineRule="auto"/>
        <w:jc w:val="both"/>
        <w:rPr>
          <w:rFonts w:ascii="Times New Roman" w:eastAsia="Times New Roman" w:hAnsi="Times New Roman" w:cs="Times New Roman"/>
          <w:b/>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 xml:space="preserve">5. Строк </w:t>
      </w:r>
      <w:r>
        <w:rPr>
          <w:rFonts w:ascii="Times New Roman" w:eastAsia="Times New Roman" w:hAnsi="Times New Roman" w:cs="Times New Roman"/>
          <w:color w:val="00000A"/>
          <w:sz w:val="24"/>
          <w:szCs w:val="24"/>
          <w:lang w:eastAsia="zh-CN" w:bidi="hi-IN"/>
        </w:rPr>
        <w:t xml:space="preserve">та місце </w:t>
      </w:r>
      <w:r w:rsidRPr="00533148">
        <w:rPr>
          <w:rFonts w:ascii="Times New Roman" w:eastAsia="Times New Roman" w:hAnsi="Times New Roman" w:cs="Times New Roman"/>
          <w:color w:val="00000A"/>
          <w:sz w:val="24"/>
          <w:szCs w:val="24"/>
          <w:lang w:eastAsia="zh-CN" w:bidi="hi-IN"/>
        </w:rPr>
        <w:t xml:space="preserve">поставки (передачі) товару: </w:t>
      </w:r>
      <w:r w:rsidRPr="00533148">
        <w:rPr>
          <w:rFonts w:ascii="Times New Roman" w:eastAsia="Times New Roman" w:hAnsi="Times New Roman" w:cs="Times New Roman"/>
          <w:b/>
          <w:color w:val="00000A"/>
          <w:sz w:val="24"/>
          <w:szCs w:val="24"/>
          <w:lang w:eastAsia="zh-CN" w:bidi="hi-IN"/>
        </w:rPr>
        <w:t xml:space="preserve">з моменту укладення договору </w:t>
      </w:r>
      <w:r w:rsidRPr="00533148">
        <w:rPr>
          <w:rFonts w:ascii="Times New Roman" w:eastAsia="Times New Roman" w:hAnsi="Times New Roman" w:cs="Times New Roman"/>
          <w:b/>
          <w:sz w:val="24"/>
          <w:szCs w:val="24"/>
          <w:lang w:eastAsia="zh-CN" w:bidi="hi-IN"/>
        </w:rPr>
        <w:t xml:space="preserve">до </w:t>
      </w:r>
      <w:r w:rsidRPr="00016D74">
        <w:rPr>
          <w:rFonts w:ascii="Times New Roman" w:eastAsia="Times New Roman" w:hAnsi="Times New Roman" w:cs="Times New Roman"/>
          <w:b/>
          <w:sz w:val="24"/>
          <w:szCs w:val="24"/>
          <w:lang w:eastAsia="zh-CN" w:bidi="hi-IN"/>
        </w:rPr>
        <w:t>31 грудня</w:t>
      </w:r>
      <w:r w:rsidRPr="00533148">
        <w:rPr>
          <w:rFonts w:ascii="Times New Roman" w:eastAsia="Times New Roman" w:hAnsi="Times New Roman" w:cs="Times New Roman"/>
          <w:b/>
          <w:sz w:val="24"/>
          <w:szCs w:val="24"/>
          <w:lang w:eastAsia="zh-CN" w:bidi="hi-IN"/>
        </w:rPr>
        <w:t xml:space="preserve"> 2023 року, заклади загальної середньої та дошкільної освіти району.</w:t>
      </w:r>
    </w:p>
    <w:p w:rsid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ab/>
      </w:r>
      <w:r w:rsidRPr="00533148">
        <w:rPr>
          <w:rFonts w:ascii="Times New Roman" w:eastAsia="Times New Roman" w:hAnsi="Times New Roman" w:cs="Times New Roman"/>
          <w:color w:val="00000A"/>
          <w:sz w:val="24"/>
          <w:szCs w:val="24"/>
          <w:lang w:eastAsia="zh-CN" w:bidi="hi-IN"/>
        </w:rPr>
        <w:tab/>
      </w:r>
      <w:r w:rsidRPr="00533148">
        <w:rPr>
          <w:rFonts w:ascii="Times New Roman" w:eastAsia="Times New Roman" w:hAnsi="Times New Roman" w:cs="Times New Roman"/>
          <w:color w:val="00000A"/>
          <w:sz w:val="24"/>
          <w:szCs w:val="24"/>
          <w:lang w:eastAsia="zh-CN" w:bidi="hi-IN"/>
        </w:rPr>
        <w:tab/>
      </w:r>
      <w:r w:rsidRPr="00533148">
        <w:rPr>
          <w:rFonts w:ascii="Times New Roman" w:eastAsia="Times New Roman" w:hAnsi="Times New Roman" w:cs="Times New Roman"/>
          <w:color w:val="00000A"/>
          <w:sz w:val="24"/>
          <w:szCs w:val="24"/>
          <w:lang w:eastAsia="zh-CN" w:bidi="hi-IN"/>
        </w:rPr>
        <w:tab/>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цього оголошення 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а також інформацію про екологічну безпеку товару.</w:t>
      </w:r>
    </w:p>
    <w:p w:rsid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ab/>
      </w:r>
      <w:r w:rsidRPr="00533148">
        <w:rPr>
          <w:rFonts w:ascii="Times New Roman" w:eastAsia="Times New Roman" w:hAnsi="Times New Roman" w:cs="Times New Roman"/>
          <w:color w:val="00000A"/>
          <w:sz w:val="24"/>
          <w:szCs w:val="24"/>
          <w:lang w:eastAsia="zh-CN" w:bidi="hi-IN"/>
        </w:rPr>
        <w:tab/>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7.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lastRenderedPageBreak/>
        <w:tab/>
      </w:r>
      <w:r w:rsidRPr="00533148">
        <w:rPr>
          <w:rFonts w:ascii="Times New Roman" w:eastAsia="Times New Roman" w:hAnsi="Times New Roman" w:cs="Times New Roman"/>
          <w:color w:val="00000A"/>
          <w:sz w:val="24"/>
          <w:szCs w:val="24"/>
          <w:lang w:eastAsia="zh-CN" w:bidi="hi-IN"/>
        </w:rPr>
        <w:tab/>
      </w:r>
    </w:p>
    <w:p w:rsidR="00533148" w:rsidRP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8. Розвантаження має здійснюватися працівниками учасника-переможця.</w:t>
      </w:r>
    </w:p>
    <w:p w:rsidR="00533148"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ab/>
      </w:r>
      <w:r w:rsidRPr="00533148">
        <w:rPr>
          <w:rFonts w:ascii="Times New Roman" w:eastAsia="Times New Roman" w:hAnsi="Times New Roman" w:cs="Times New Roman"/>
          <w:color w:val="00000A"/>
          <w:sz w:val="24"/>
          <w:szCs w:val="24"/>
          <w:lang w:eastAsia="zh-CN" w:bidi="hi-IN"/>
        </w:rPr>
        <w:tab/>
      </w:r>
      <w:r w:rsidRPr="00533148">
        <w:rPr>
          <w:rFonts w:ascii="Times New Roman" w:eastAsia="Times New Roman" w:hAnsi="Times New Roman" w:cs="Times New Roman"/>
          <w:color w:val="00000A"/>
          <w:sz w:val="24"/>
          <w:szCs w:val="24"/>
          <w:lang w:eastAsia="zh-CN" w:bidi="hi-IN"/>
        </w:rPr>
        <w:tab/>
      </w:r>
    </w:p>
    <w:p w:rsidR="007F2222" w:rsidRPr="007F2222" w:rsidRDefault="007F2222" w:rsidP="007F2222">
      <w:pPr>
        <w:widowControl w:val="0"/>
        <w:spacing w:after="0" w:line="240" w:lineRule="auto"/>
        <w:jc w:val="both"/>
        <w:rPr>
          <w:rFonts w:ascii="Times New Roman" w:eastAsia="Times New Roman" w:hAnsi="Times New Roman" w:cs="Times New Roman"/>
          <w:color w:val="00000A"/>
          <w:sz w:val="24"/>
          <w:szCs w:val="24"/>
          <w:lang w:eastAsia="zh-CN" w:bidi="hi-IN"/>
        </w:rPr>
      </w:pPr>
      <w:r w:rsidRPr="007F2222">
        <w:rPr>
          <w:rFonts w:ascii="Times New Roman" w:eastAsia="Times New Roman" w:hAnsi="Times New Roman" w:cs="Times New Roman"/>
          <w:color w:val="00000A"/>
          <w:sz w:val="24"/>
          <w:szCs w:val="24"/>
          <w:lang w:eastAsia="zh-CN" w:bidi="hi-IN"/>
        </w:rPr>
        <w:t>9. Технічні, якісні характеристики Товару за предметом закупівлі повинні відповідати Державними стандартами України (ДСТУ ТУ 2042-92 «Брикети торф’яні на комунально-побутові потреби»), а також всім санітарним, гігієнічним, технічним та іншим нормам, стандартам і правилам, які встановлені в Україні для даної групи товару.</w:t>
      </w:r>
    </w:p>
    <w:p w:rsidR="007F2222" w:rsidRPr="007F2222" w:rsidRDefault="007F2222" w:rsidP="007F2222">
      <w:pPr>
        <w:widowControl w:val="0"/>
        <w:spacing w:after="0" w:line="240" w:lineRule="auto"/>
        <w:jc w:val="both"/>
        <w:rPr>
          <w:rFonts w:ascii="Times New Roman" w:eastAsia="Times New Roman" w:hAnsi="Times New Roman" w:cs="Times New Roman"/>
          <w:color w:val="00000A"/>
          <w:sz w:val="24"/>
          <w:szCs w:val="24"/>
          <w:lang w:eastAsia="zh-CN" w:bidi="hi-IN"/>
        </w:rPr>
      </w:pPr>
      <w:r w:rsidRPr="007F2222">
        <w:rPr>
          <w:rFonts w:ascii="Times New Roman" w:eastAsia="Times New Roman" w:hAnsi="Times New Roman" w:cs="Times New Roman"/>
          <w:color w:val="00000A"/>
          <w:sz w:val="24"/>
          <w:szCs w:val="24"/>
          <w:lang w:eastAsia="zh-CN" w:bidi="hi-IN"/>
        </w:rPr>
        <w:t>Якісні показники товару повинні відповідати наступним вимогам:</w:t>
      </w:r>
    </w:p>
    <w:p w:rsidR="007F2222" w:rsidRPr="007F2222" w:rsidRDefault="007F2222" w:rsidP="007F2222">
      <w:pPr>
        <w:widowControl w:val="0"/>
        <w:spacing w:after="0" w:line="240" w:lineRule="auto"/>
        <w:jc w:val="both"/>
        <w:rPr>
          <w:rFonts w:ascii="Times New Roman" w:eastAsia="Times New Roman" w:hAnsi="Times New Roman" w:cs="Times New Roman"/>
          <w:color w:val="00000A"/>
          <w:sz w:val="24"/>
          <w:szCs w:val="24"/>
          <w:lang w:eastAsia="zh-CN" w:bidi="hi-IN"/>
        </w:rPr>
      </w:pPr>
      <w:r w:rsidRPr="007F2222">
        <w:rPr>
          <w:rFonts w:ascii="Times New Roman" w:eastAsia="Times New Roman" w:hAnsi="Times New Roman" w:cs="Times New Roman"/>
          <w:color w:val="00000A"/>
          <w:sz w:val="24"/>
          <w:szCs w:val="24"/>
          <w:lang w:eastAsia="zh-CN" w:bidi="hi-IN"/>
        </w:rPr>
        <w:t>- масова частина вологи – не більше 20%;</w:t>
      </w:r>
    </w:p>
    <w:p w:rsidR="007F2222" w:rsidRPr="007F2222" w:rsidRDefault="007F2222" w:rsidP="007F2222">
      <w:pPr>
        <w:widowControl w:val="0"/>
        <w:spacing w:after="0" w:line="240" w:lineRule="auto"/>
        <w:jc w:val="both"/>
        <w:rPr>
          <w:rFonts w:ascii="Times New Roman" w:eastAsia="Times New Roman" w:hAnsi="Times New Roman" w:cs="Times New Roman"/>
          <w:color w:val="00000A"/>
          <w:sz w:val="24"/>
          <w:szCs w:val="24"/>
          <w:lang w:eastAsia="zh-CN" w:bidi="hi-IN"/>
        </w:rPr>
      </w:pPr>
      <w:r w:rsidRPr="007F2222">
        <w:rPr>
          <w:rFonts w:ascii="Times New Roman" w:eastAsia="Times New Roman" w:hAnsi="Times New Roman" w:cs="Times New Roman"/>
          <w:color w:val="00000A"/>
          <w:sz w:val="24"/>
          <w:szCs w:val="24"/>
          <w:lang w:eastAsia="zh-CN" w:bidi="hi-IN"/>
        </w:rPr>
        <w:t>- механічна міцність – не менше 94%;</w:t>
      </w:r>
    </w:p>
    <w:p w:rsidR="007F2222" w:rsidRPr="007F2222" w:rsidRDefault="007F2222" w:rsidP="007F2222">
      <w:pPr>
        <w:widowControl w:val="0"/>
        <w:spacing w:after="0" w:line="240" w:lineRule="auto"/>
        <w:jc w:val="both"/>
        <w:rPr>
          <w:rFonts w:ascii="Times New Roman" w:eastAsia="Times New Roman" w:hAnsi="Times New Roman" w:cs="Times New Roman"/>
          <w:color w:val="00000A"/>
          <w:sz w:val="24"/>
          <w:szCs w:val="24"/>
          <w:lang w:eastAsia="zh-CN" w:bidi="hi-IN"/>
        </w:rPr>
      </w:pPr>
      <w:r w:rsidRPr="007F2222">
        <w:rPr>
          <w:rFonts w:ascii="Times New Roman" w:eastAsia="Times New Roman" w:hAnsi="Times New Roman" w:cs="Times New Roman"/>
          <w:color w:val="00000A"/>
          <w:sz w:val="24"/>
          <w:szCs w:val="24"/>
          <w:lang w:eastAsia="zh-CN" w:bidi="hi-IN"/>
        </w:rPr>
        <w:t>- зольність – не більше 23%.</w:t>
      </w:r>
    </w:p>
    <w:p w:rsidR="0091656E" w:rsidRPr="0091656E" w:rsidRDefault="0091656E" w:rsidP="0091656E">
      <w:pPr>
        <w:widowControl w:val="0"/>
        <w:spacing w:after="0" w:line="240" w:lineRule="auto"/>
        <w:jc w:val="both"/>
        <w:rPr>
          <w:rFonts w:ascii="Times New Roman" w:eastAsia="Times New Roman" w:hAnsi="Times New Roman" w:cs="Times New Roman"/>
          <w:color w:val="00000A"/>
          <w:sz w:val="24"/>
          <w:szCs w:val="24"/>
          <w:lang w:eastAsia="zh-CN" w:bidi="hi-IN"/>
        </w:rPr>
      </w:pPr>
      <w:r w:rsidRPr="0091656E">
        <w:rPr>
          <w:rFonts w:ascii="Times New Roman" w:eastAsia="Times New Roman" w:hAnsi="Times New Roman" w:cs="Times New Roman"/>
          <w:color w:val="00000A"/>
          <w:sz w:val="24"/>
          <w:szCs w:val="24"/>
          <w:lang w:eastAsia="zh-CN" w:bidi="hi-IN"/>
        </w:rPr>
        <w:t xml:space="preserve">- теплота згорання – не менше 14,9 </w:t>
      </w:r>
      <w:r w:rsidR="004B4961">
        <w:rPr>
          <w:rFonts w:ascii="Times New Roman" w:eastAsia="Times New Roman" w:hAnsi="Times New Roman" w:cs="Times New Roman"/>
          <w:color w:val="00000A"/>
          <w:sz w:val="24"/>
          <w:szCs w:val="24"/>
          <w:lang w:eastAsia="zh-CN" w:bidi="hi-IN"/>
        </w:rPr>
        <w:t>М</w:t>
      </w:r>
      <w:bookmarkStart w:id="0" w:name="_GoBack"/>
      <w:bookmarkEnd w:id="0"/>
      <w:r w:rsidRPr="0091656E">
        <w:rPr>
          <w:rFonts w:ascii="Times New Roman" w:eastAsia="Times New Roman" w:hAnsi="Times New Roman" w:cs="Times New Roman"/>
          <w:color w:val="00000A"/>
          <w:sz w:val="24"/>
          <w:szCs w:val="24"/>
          <w:lang w:eastAsia="zh-CN" w:bidi="hi-IN"/>
        </w:rPr>
        <w:t>Дж/кг.</w:t>
      </w:r>
    </w:p>
    <w:p w:rsidR="00533148" w:rsidRDefault="0091656E" w:rsidP="0091656E">
      <w:pPr>
        <w:widowControl w:val="0"/>
        <w:spacing w:after="0" w:line="240" w:lineRule="auto"/>
        <w:jc w:val="both"/>
        <w:rPr>
          <w:rFonts w:ascii="Times New Roman" w:eastAsia="Times New Roman" w:hAnsi="Times New Roman" w:cs="Times New Roman"/>
          <w:color w:val="00000A"/>
          <w:sz w:val="24"/>
          <w:szCs w:val="24"/>
          <w:lang w:eastAsia="zh-CN" w:bidi="hi-IN"/>
        </w:rPr>
      </w:pPr>
      <w:r w:rsidRPr="0091656E">
        <w:rPr>
          <w:rFonts w:ascii="Times New Roman" w:eastAsia="Times New Roman" w:hAnsi="Times New Roman" w:cs="Times New Roman"/>
          <w:color w:val="00000A"/>
          <w:sz w:val="24"/>
          <w:szCs w:val="24"/>
          <w:lang w:eastAsia="zh-CN" w:bidi="hi-IN"/>
        </w:rPr>
        <w:t>Учасник гарантує якість товару відповідно до наданих сертифікатів якості в повному обсязі. 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Учасник гарантує якість товару протягом усього гарантійного строку або строку придатності встановленого на такий товар.</w:t>
      </w:r>
    </w:p>
    <w:p w:rsidR="00846CA6" w:rsidRDefault="00846CA6" w:rsidP="00533148">
      <w:pPr>
        <w:widowControl w:val="0"/>
        <w:spacing w:after="0" w:line="240" w:lineRule="auto"/>
        <w:jc w:val="both"/>
        <w:rPr>
          <w:rFonts w:ascii="Times New Roman" w:eastAsia="Times New Roman" w:hAnsi="Times New Roman" w:cs="Times New Roman"/>
          <w:color w:val="00000A"/>
          <w:sz w:val="24"/>
          <w:szCs w:val="24"/>
          <w:lang w:eastAsia="zh-CN" w:bidi="hi-IN"/>
        </w:rPr>
      </w:pPr>
    </w:p>
    <w:p w:rsidR="00CB1A1B" w:rsidRDefault="00533148" w:rsidP="00533148">
      <w:pPr>
        <w:widowControl w:val="0"/>
        <w:spacing w:after="0" w:line="240" w:lineRule="auto"/>
        <w:jc w:val="both"/>
        <w:rPr>
          <w:rFonts w:ascii="Times New Roman" w:eastAsia="Times New Roman" w:hAnsi="Times New Roman" w:cs="Times New Roman"/>
          <w:color w:val="00000A"/>
          <w:sz w:val="24"/>
          <w:szCs w:val="24"/>
          <w:lang w:eastAsia="zh-CN" w:bidi="hi-IN"/>
        </w:rPr>
      </w:pPr>
      <w:r w:rsidRPr="00533148">
        <w:rPr>
          <w:rFonts w:ascii="Times New Roman" w:eastAsia="Times New Roman" w:hAnsi="Times New Roman" w:cs="Times New Roman"/>
          <w:color w:val="00000A"/>
          <w:sz w:val="24"/>
          <w:szCs w:val="24"/>
          <w:lang w:eastAsia="zh-CN" w:bidi="hi-IN"/>
        </w:rPr>
        <w:t>11. Місце поставки (передачі) товару: Україна, Волинська область:</w:t>
      </w:r>
    </w:p>
    <w:p w:rsidR="00491DB0" w:rsidRDefault="00491DB0" w:rsidP="00533148">
      <w:pPr>
        <w:widowControl w:val="0"/>
        <w:spacing w:after="0" w:line="240" w:lineRule="auto"/>
        <w:jc w:val="both"/>
        <w:rPr>
          <w:rFonts w:ascii="Times New Roman" w:eastAsia="Times New Roman" w:hAnsi="Times New Roman" w:cs="Times New Roman"/>
          <w:color w:val="00000A"/>
          <w:sz w:val="24"/>
          <w:szCs w:val="24"/>
          <w:lang w:eastAsia="zh-CN" w:bidi="hi-IN"/>
        </w:rPr>
      </w:pPr>
    </w:p>
    <w:p w:rsidR="00491DB0" w:rsidRPr="001D779B" w:rsidRDefault="00491DB0" w:rsidP="001D779B">
      <w:pPr>
        <w:pStyle w:val="a3"/>
        <w:widowControl w:val="0"/>
        <w:numPr>
          <w:ilvl w:val="0"/>
          <w:numId w:val="1"/>
        </w:numPr>
        <w:spacing w:after="0" w:line="240" w:lineRule="auto"/>
        <w:jc w:val="both"/>
        <w:rPr>
          <w:rFonts w:ascii="Times New Roman" w:eastAsia="Times New Roman" w:hAnsi="Times New Roman" w:cs="Times New Roman"/>
          <w:b/>
          <w:sz w:val="24"/>
          <w:szCs w:val="24"/>
        </w:rPr>
      </w:pPr>
      <w:r w:rsidRPr="001D779B">
        <w:rPr>
          <w:rFonts w:ascii="Times New Roman" w:eastAsia="Times New Roman" w:hAnsi="Times New Roman" w:cs="Times New Roman"/>
          <w:b/>
          <w:sz w:val="24"/>
          <w:szCs w:val="24"/>
        </w:rPr>
        <w:t>Перелік та</w:t>
      </w:r>
      <w:r w:rsidR="007968DF">
        <w:rPr>
          <w:rFonts w:ascii="Times New Roman" w:eastAsia="Times New Roman" w:hAnsi="Times New Roman" w:cs="Times New Roman"/>
          <w:b/>
          <w:sz w:val="24"/>
          <w:szCs w:val="24"/>
        </w:rPr>
        <w:t xml:space="preserve"> адреси закладів</w:t>
      </w:r>
      <w:r w:rsidRPr="001D779B">
        <w:rPr>
          <w:rFonts w:ascii="Times New Roman" w:eastAsia="Times New Roman" w:hAnsi="Times New Roman" w:cs="Times New Roman"/>
          <w:b/>
          <w:sz w:val="24"/>
          <w:szCs w:val="24"/>
        </w:rPr>
        <w:t>:</w:t>
      </w:r>
    </w:p>
    <w:tbl>
      <w:tblPr>
        <w:tblpPr w:leftFromText="180" w:rightFromText="180" w:vertAnchor="text" w:tblpY="1"/>
        <w:tblOverlap w:val="neve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06"/>
        <w:gridCol w:w="4513"/>
        <w:gridCol w:w="516"/>
      </w:tblGrid>
      <w:tr w:rsidR="001D779B" w:rsidRPr="00065A04" w:rsidTr="00F54139">
        <w:trPr>
          <w:trHeight w:val="416"/>
        </w:trPr>
        <w:tc>
          <w:tcPr>
            <w:tcW w:w="486" w:type="dxa"/>
            <w:shd w:val="clear" w:color="auto" w:fill="auto"/>
            <w:noWrap/>
            <w:vAlign w:val="bottom"/>
            <w:hideMark/>
          </w:tcPr>
          <w:p w:rsidR="001D779B" w:rsidRPr="00065A04" w:rsidRDefault="001D779B" w:rsidP="00401CCD">
            <w:pPr>
              <w:spacing w:line="252" w:lineRule="auto"/>
              <w:rPr>
                <w:rFonts w:ascii="Times New Roman" w:hAnsi="Times New Roman"/>
                <w:color w:val="000000"/>
                <w:sz w:val="20"/>
              </w:rPr>
            </w:pPr>
            <w:r w:rsidRPr="00065A04">
              <w:rPr>
                <w:rFonts w:ascii="Times New Roman" w:hAnsi="Times New Roman"/>
                <w:color w:val="000000"/>
                <w:sz w:val="20"/>
              </w:rPr>
              <w:t>№ п/п</w:t>
            </w:r>
          </w:p>
        </w:tc>
        <w:tc>
          <w:tcPr>
            <w:tcW w:w="3706" w:type="dxa"/>
          </w:tcPr>
          <w:p w:rsidR="001D779B" w:rsidRPr="00065A04" w:rsidRDefault="001D779B" w:rsidP="00401CCD">
            <w:pPr>
              <w:spacing w:line="252" w:lineRule="auto"/>
              <w:rPr>
                <w:rFonts w:ascii="Times New Roman" w:hAnsi="Times New Roman"/>
                <w:color w:val="000000"/>
                <w:sz w:val="20"/>
              </w:rPr>
            </w:pPr>
          </w:p>
          <w:p w:rsidR="001D779B" w:rsidRPr="00065A04" w:rsidRDefault="001D779B" w:rsidP="00401CCD">
            <w:pPr>
              <w:spacing w:line="252" w:lineRule="auto"/>
              <w:rPr>
                <w:rFonts w:ascii="Times New Roman" w:hAnsi="Times New Roman"/>
                <w:color w:val="000000"/>
                <w:sz w:val="20"/>
              </w:rPr>
            </w:pPr>
            <w:r w:rsidRPr="00065A04">
              <w:rPr>
                <w:rFonts w:ascii="Times New Roman" w:hAnsi="Times New Roman"/>
                <w:color w:val="000000"/>
                <w:sz w:val="20"/>
              </w:rPr>
              <w:t>Назва школи</w:t>
            </w:r>
          </w:p>
        </w:tc>
        <w:tc>
          <w:tcPr>
            <w:tcW w:w="4513" w:type="dxa"/>
            <w:shd w:val="clear" w:color="auto" w:fill="auto"/>
            <w:noWrap/>
            <w:vAlign w:val="bottom"/>
          </w:tcPr>
          <w:p w:rsidR="001D779B" w:rsidRPr="00065A04" w:rsidRDefault="001D779B" w:rsidP="00401CCD">
            <w:pPr>
              <w:spacing w:line="252" w:lineRule="auto"/>
              <w:rPr>
                <w:rFonts w:ascii="Times New Roman" w:hAnsi="Times New Roman"/>
                <w:color w:val="000000"/>
                <w:sz w:val="20"/>
              </w:rPr>
            </w:pPr>
            <w:r w:rsidRPr="00065A04">
              <w:rPr>
                <w:rFonts w:ascii="Times New Roman" w:hAnsi="Times New Roman"/>
                <w:color w:val="000000"/>
                <w:sz w:val="20"/>
              </w:rPr>
              <w:t>Юридична адреса</w:t>
            </w:r>
          </w:p>
        </w:tc>
        <w:tc>
          <w:tcPr>
            <w:tcW w:w="516" w:type="dxa"/>
          </w:tcPr>
          <w:p w:rsidR="001D779B" w:rsidRPr="00065A04" w:rsidRDefault="001D779B" w:rsidP="00401CCD">
            <w:pPr>
              <w:spacing w:line="252" w:lineRule="auto"/>
              <w:rPr>
                <w:rFonts w:ascii="Times New Roman" w:hAnsi="Times New Roman"/>
                <w:color w:val="000000"/>
                <w:sz w:val="20"/>
              </w:rPr>
            </w:pPr>
          </w:p>
        </w:tc>
      </w:tr>
      <w:tr w:rsidR="001D779B" w:rsidRPr="00065A04" w:rsidTr="00F54139">
        <w:trPr>
          <w:trHeight w:val="90"/>
        </w:trPr>
        <w:tc>
          <w:tcPr>
            <w:tcW w:w="486" w:type="dxa"/>
            <w:shd w:val="clear" w:color="auto" w:fill="auto"/>
            <w:noWrap/>
            <w:vAlign w:val="bottom"/>
          </w:tcPr>
          <w:p w:rsidR="001D779B" w:rsidRPr="00065A04" w:rsidRDefault="001D779B" w:rsidP="00401CCD">
            <w:pPr>
              <w:spacing w:line="252" w:lineRule="auto"/>
              <w:rPr>
                <w:rFonts w:ascii="Times New Roman" w:hAnsi="Times New Roman"/>
                <w:color w:val="000000"/>
                <w:sz w:val="20"/>
              </w:rPr>
            </w:pPr>
          </w:p>
        </w:tc>
        <w:tc>
          <w:tcPr>
            <w:tcW w:w="3706" w:type="dxa"/>
          </w:tcPr>
          <w:p w:rsidR="001D779B" w:rsidRPr="00065A04" w:rsidRDefault="001D779B" w:rsidP="00401CCD">
            <w:pPr>
              <w:spacing w:line="252" w:lineRule="auto"/>
              <w:rPr>
                <w:rFonts w:ascii="Times New Roman" w:hAnsi="Times New Roman"/>
                <w:b/>
                <w:i/>
                <w:color w:val="000000"/>
                <w:sz w:val="20"/>
                <w:szCs w:val="20"/>
              </w:rPr>
            </w:pPr>
            <w:r w:rsidRPr="00065A04">
              <w:rPr>
                <w:rFonts w:ascii="Times New Roman" w:hAnsi="Times New Roman"/>
                <w:b/>
                <w:i/>
                <w:color w:val="000000"/>
                <w:sz w:val="20"/>
                <w:szCs w:val="20"/>
              </w:rPr>
              <w:t>Школи</w:t>
            </w:r>
          </w:p>
        </w:tc>
        <w:tc>
          <w:tcPr>
            <w:tcW w:w="4513" w:type="dxa"/>
            <w:shd w:val="clear" w:color="auto" w:fill="auto"/>
            <w:noWrap/>
            <w:vAlign w:val="bottom"/>
          </w:tcPr>
          <w:p w:rsidR="001D779B" w:rsidRPr="00065A04" w:rsidRDefault="001D779B" w:rsidP="00401CCD">
            <w:pPr>
              <w:spacing w:line="252" w:lineRule="auto"/>
              <w:rPr>
                <w:rFonts w:ascii="Times New Roman" w:hAnsi="Times New Roman"/>
                <w:b/>
                <w:i/>
                <w:color w:val="000000"/>
                <w:sz w:val="20"/>
                <w:szCs w:val="20"/>
              </w:rPr>
            </w:pPr>
            <w:r w:rsidRPr="00065A04">
              <w:rPr>
                <w:rFonts w:ascii="Times New Roman" w:hAnsi="Times New Roman"/>
                <w:b/>
                <w:i/>
                <w:color w:val="000000"/>
                <w:sz w:val="20"/>
                <w:szCs w:val="20"/>
              </w:rPr>
              <w:t>Волинська область</w:t>
            </w:r>
          </w:p>
        </w:tc>
        <w:tc>
          <w:tcPr>
            <w:tcW w:w="516" w:type="dxa"/>
          </w:tcPr>
          <w:p w:rsidR="001D779B" w:rsidRPr="00065A04" w:rsidRDefault="001D779B" w:rsidP="00401CCD">
            <w:pPr>
              <w:spacing w:line="252" w:lineRule="auto"/>
              <w:rPr>
                <w:rFonts w:ascii="Times New Roman" w:hAnsi="Times New Roman"/>
                <w:b/>
                <w:i/>
                <w:color w:val="000000"/>
                <w:sz w:val="20"/>
                <w:szCs w:val="20"/>
              </w:rPr>
            </w:pPr>
            <w:r w:rsidRPr="00065A04">
              <w:rPr>
                <w:rFonts w:ascii="Times New Roman" w:hAnsi="Times New Roman"/>
                <w:b/>
                <w:i/>
                <w:color w:val="000000"/>
                <w:sz w:val="20"/>
                <w:szCs w:val="20"/>
              </w:rPr>
              <w:t>т</w:t>
            </w:r>
          </w:p>
        </w:tc>
      </w:tr>
      <w:tr w:rsidR="001D779B" w:rsidRPr="00065A04" w:rsidTr="00F54139">
        <w:trPr>
          <w:trHeight w:val="257"/>
        </w:trPr>
        <w:tc>
          <w:tcPr>
            <w:tcW w:w="486" w:type="dxa"/>
            <w:shd w:val="clear" w:color="auto" w:fill="auto"/>
            <w:noWrap/>
            <w:vAlign w:val="bottom"/>
          </w:tcPr>
          <w:p w:rsidR="001D779B" w:rsidRPr="00065A04" w:rsidRDefault="001D779B" w:rsidP="00401CCD">
            <w:pPr>
              <w:spacing w:line="252" w:lineRule="auto"/>
              <w:jc w:val="right"/>
              <w:rPr>
                <w:rFonts w:ascii="Times New Roman" w:hAnsi="Times New Roman"/>
                <w:color w:val="000000"/>
                <w:sz w:val="20"/>
                <w:lang w:val="en-US"/>
              </w:rPr>
            </w:pPr>
            <w:r w:rsidRPr="00065A04">
              <w:rPr>
                <w:rFonts w:ascii="Times New Roman" w:hAnsi="Times New Roman"/>
                <w:color w:val="000000"/>
                <w:sz w:val="20"/>
                <w:lang w:val="en-US"/>
              </w:rPr>
              <w:t>1</w:t>
            </w:r>
          </w:p>
        </w:tc>
        <w:tc>
          <w:tcPr>
            <w:tcW w:w="3706" w:type="dxa"/>
          </w:tcPr>
          <w:p w:rsidR="001D779B" w:rsidRPr="00065A04" w:rsidRDefault="001D779B" w:rsidP="00401CCD">
            <w:pPr>
              <w:spacing w:line="252" w:lineRule="auto"/>
              <w:rPr>
                <w:rFonts w:ascii="Times New Roman" w:hAnsi="Times New Roman"/>
                <w:color w:val="000000"/>
                <w:sz w:val="20"/>
                <w:szCs w:val="20"/>
              </w:rPr>
            </w:pPr>
            <w:r w:rsidRPr="00065A04">
              <w:rPr>
                <w:rFonts w:ascii="Times New Roman" w:hAnsi="Times New Roman"/>
                <w:color w:val="000000"/>
                <w:sz w:val="20"/>
                <w:szCs w:val="20"/>
              </w:rPr>
              <w:t>1.</w:t>
            </w:r>
            <w:r w:rsidR="002A140C">
              <w:rPr>
                <w:rFonts w:ascii="Times New Roman" w:hAnsi="Times New Roman"/>
                <w:color w:val="000000"/>
                <w:sz w:val="20"/>
                <w:szCs w:val="20"/>
              </w:rPr>
              <w:t>Опорний заклад загальної середньої освіти «Любешівський ліцей» Любешівської селищної ради Волинської області</w:t>
            </w:r>
          </w:p>
          <w:p w:rsidR="001D779B" w:rsidRPr="00065A04" w:rsidRDefault="001D779B" w:rsidP="00401CCD">
            <w:pPr>
              <w:spacing w:line="252" w:lineRule="auto"/>
              <w:rPr>
                <w:rFonts w:ascii="Times New Roman" w:hAnsi="Times New Roman"/>
                <w:color w:val="000000"/>
                <w:sz w:val="20"/>
                <w:szCs w:val="20"/>
              </w:rPr>
            </w:pPr>
          </w:p>
        </w:tc>
        <w:tc>
          <w:tcPr>
            <w:tcW w:w="4513" w:type="dxa"/>
            <w:shd w:val="clear" w:color="auto" w:fill="auto"/>
            <w:noWrap/>
            <w:vAlign w:val="center"/>
          </w:tcPr>
          <w:p w:rsidR="001D779B" w:rsidRPr="00065A04" w:rsidRDefault="001D779B" w:rsidP="002A140C">
            <w:pPr>
              <w:spacing w:line="252" w:lineRule="auto"/>
              <w:rPr>
                <w:rFonts w:ascii="Times New Roman" w:hAnsi="Times New Roman"/>
                <w:color w:val="000000"/>
                <w:sz w:val="20"/>
                <w:szCs w:val="20"/>
              </w:rPr>
            </w:pPr>
            <w:r w:rsidRPr="00065A04">
              <w:rPr>
                <w:rFonts w:ascii="Times New Roman" w:hAnsi="Times New Roman"/>
                <w:color w:val="000000"/>
                <w:sz w:val="20"/>
                <w:szCs w:val="20"/>
              </w:rPr>
              <w:t>1.44</w:t>
            </w:r>
            <w:r w:rsidR="002A140C">
              <w:rPr>
                <w:rFonts w:ascii="Times New Roman" w:hAnsi="Times New Roman"/>
                <w:color w:val="000000"/>
                <w:sz w:val="20"/>
                <w:szCs w:val="20"/>
              </w:rPr>
              <w:t>201</w:t>
            </w:r>
            <w:r w:rsidRPr="00065A04">
              <w:rPr>
                <w:rFonts w:ascii="Times New Roman" w:hAnsi="Times New Roman"/>
                <w:color w:val="000000"/>
                <w:sz w:val="20"/>
                <w:szCs w:val="20"/>
              </w:rPr>
              <w:t xml:space="preserve">, вул. </w:t>
            </w:r>
            <w:r w:rsidR="002A140C">
              <w:rPr>
                <w:rFonts w:ascii="Times New Roman" w:hAnsi="Times New Roman"/>
                <w:color w:val="000000"/>
                <w:sz w:val="20"/>
                <w:szCs w:val="20"/>
              </w:rPr>
              <w:t>Незалежності</w:t>
            </w:r>
            <w:r w:rsidRPr="00065A04">
              <w:rPr>
                <w:rFonts w:ascii="Times New Roman" w:hAnsi="Times New Roman"/>
                <w:color w:val="000000"/>
                <w:sz w:val="20"/>
                <w:szCs w:val="20"/>
              </w:rPr>
              <w:t>, буд.</w:t>
            </w:r>
            <w:r w:rsidR="002A140C">
              <w:rPr>
                <w:rFonts w:ascii="Times New Roman" w:hAnsi="Times New Roman"/>
                <w:color w:val="000000"/>
                <w:sz w:val="20"/>
                <w:szCs w:val="20"/>
              </w:rPr>
              <w:t>39</w:t>
            </w:r>
            <w:r w:rsidRPr="00065A04">
              <w:rPr>
                <w:rFonts w:ascii="Times New Roman" w:hAnsi="Times New Roman"/>
                <w:color w:val="000000"/>
                <w:sz w:val="20"/>
                <w:szCs w:val="20"/>
              </w:rPr>
              <w:t>, Камінь-Каширський район, Волинська область</w:t>
            </w:r>
          </w:p>
        </w:tc>
        <w:tc>
          <w:tcPr>
            <w:tcW w:w="516" w:type="dxa"/>
          </w:tcPr>
          <w:p w:rsidR="001D779B" w:rsidRPr="00994D5F" w:rsidRDefault="00994D5F" w:rsidP="00016D74">
            <w:pPr>
              <w:spacing w:line="252" w:lineRule="auto"/>
              <w:rPr>
                <w:rFonts w:ascii="Times New Roman" w:hAnsi="Times New Roman"/>
                <w:color w:val="000000"/>
                <w:sz w:val="20"/>
                <w:szCs w:val="20"/>
              </w:rPr>
            </w:pPr>
            <w:r>
              <w:rPr>
                <w:rFonts w:ascii="Times New Roman" w:hAnsi="Times New Roman"/>
                <w:sz w:val="20"/>
                <w:szCs w:val="20"/>
              </w:rPr>
              <w:t>1</w:t>
            </w:r>
            <w:r w:rsidR="00016D74">
              <w:rPr>
                <w:rFonts w:ascii="Times New Roman" w:hAnsi="Times New Roman"/>
                <w:sz w:val="20"/>
                <w:szCs w:val="20"/>
              </w:rPr>
              <w:t>44</w:t>
            </w:r>
          </w:p>
        </w:tc>
      </w:tr>
      <w:tr w:rsidR="001D779B" w:rsidRPr="00065A04" w:rsidTr="00F54139">
        <w:trPr>
          <w:trHeight w:val="257"/>
        </w:trPr>
        <w:tc>
          <w:tcPr>
            <w:tcW w:w="486" w:type="dxa"/>
            <w:shd w:val="clear" w:color="auto" w:fill="auto"/>
            <w:noWrap/>
            <w:vAlign w:val="bottom"/>
          </w:tcPr>
          <w:p w:rsidR="001D779B" w:rsidRPr="00065A04" w:rsidRDefault="001D779B" w:rsidP="00401CCD">
            <w:pPr>
              <w:spacing w:line="252" w:lineRule="auto"/>
              <w:jc w:val="right"/>
              <w:rPr>
                <w:rFonts w:ascii="Times New Roman" w:hAnsi="Times New Roman"/>
                <w:color w:val="000000"/>
                <w:sz w:val="20"/>
              </w:rPr>
            </w:pPr>
            <w:r w:rsidRPr="00065A04">
              <w:rPr>
                <w:rFonts w:ascii="Times New Roman" w:hAnsi="Times New Roman"/>
                <w:color w:val="000000"/>
                <w:sz w:val="20"/>
              </w:rPr>
              <w:t>2</w:t>
            </w:r>
          </w:p>
        </w:tc>
        <w:tc>
          <w:tcPr>
            <w:tcW w:w="3706" w:type="dxa"/>
          </w:tcPr>
          <w:p w:rsidR="001D779B" w:rsidRPr="00065A04" w:rsidRDefault="00F54139" w:rsidP="00401CCD">
            <w:pPr>
              <w:spacing w:line="252" w:lineRule="auto"/>
              <w:rPr>
                <w:rFonts w:ascii="Times New Roman" w:hAnsi="Times New Roman"/>
                <w:color w:val="000000"/>
                <w:sz w:val="20"/>
                <w:szCs w:val="20"/>
              </w:rPr>
            </w:pPr>
            <w:r>
              <w:rPr>
                <w:rFonts w:ascii="Times New Roman" w:hAnsi="Times New Roman"/>
                <w:color w:val="000000"/>
                <w:sz w:val="20"/>
                <w:szCs w:val="20"/>
              </w:rPr>
              <w:t>«</w:t>
            </w:r>
            <w:r w:rsidR="002A140C">
              <w:rPr>
                <w:rFonts w:ascii="Times New Roman" w:hAnsi="Times New Roman"/>
                <w:color w:val="000000"/>
                <w:sz w:val="20"/>
                <w:szCs w:val="20"/>
              </w:rPr>
              <w:t>Підкормільська гімназія</w:t>
            </w:r>
            <w:r>
              <w:rPr>
                <w:rFonts w:ascii="Times New Roman" w:hAnsi="Times New Roman"/>
                <w:color w:val="000000"/>
                <w:sz w:val="20"/>
                <w:szCs w:val="20"/>
              </w:rPr>
              <w:t>»</w:t>
            </w:r>
            <w:r w:rsidR="002A140C">
              <w:rPr>
                <w:rFonts w:ascii="Times New Roman" w:hAnsi="Times New Roman"/>
                <w:color w:val="000000"/>
                <w:sz w:val="20"/>
                <w:szCs w:val="20"/>
              </w:rPr>
              <w:t xml:space="preserve"> – філія ОЗЗСО «Любешівський ліцей»</w:t>
            </w:r>
          </w:p>
        </w:tc>
        <w:tc>
          <w:tcPr>
            <w:tcW w:w="4513" w:type="dxa"/>
            <w:shd w:val="clear" w:color="auto" w:fill="auto"/>
            <w:noWrap/>
            <w:vAlign w:val="center"/>
          </w:tcPr>
          <w:p w:rsidR="001D779B" w:rsidRPr="00065A04" w:rsidRDefault="001D779B" w:rsidP="00F54139">
            <w:pPr>
              <w:spacing w:line="252" w:lineRule="auto"/>
              <w:rPr>
                <w:rFonts w:ascii="Times New Roman" w:hAnsi="Times New Roman"/>
                <w:color w:val="000000"/>
                <w:sz w:val="20"/>
                <w:szCs w:val="20"/>
              </w:rPr>
            </w:pPr>
            <w:r w:rsidRPr="00065A04">
              <w:rPr>
                <w:rFonts w:ascii="Times New Roman" w:hAnsi="Times New Roman"/>
                <w:color w:val="000000"/>
                <w:sz w:val="20"/>
                <w:szCs w:val="20"/>
              </w:rPr>
              <w:t>442</w:t>
            </w:r>
            <w:r w:rsidR="002A140C">
              <w:rPr>
                <w:rFonts w:ascii="Times New Roman" w:hAnsi="Times New Roman"/>
                <w:color w:val="000000"/>
                <w:sz w:val="20"/>
                <w:szCs w:val="20"/>
              </w:rPr>
              <w:t>14,вул. Молодіжна</w:t>
            </w:r>
            <w:r w:rsidRPr="00065A04">
              <w:rPr>
                <w:rFonts w:ascii="Times New Roman" w:hAnsi="Times New Roman"/>
                <w:color w:val="000000"/>
                <w:sz w:val="20"/>
                <w:szCs w:val="20"/>
              </w:rPr>
              <w:t>,буд.</w:t>
            </w:r>
            <w:r w:rsidR="00F54139">
              <w:rPr>
                <w:rFonts w:ascii="Times New Roman" w:hAnsi="Times New Roman"/>
                <w:color w:val="000000"/>
                <w:sz w:val="20"/>
                <w:szCs w:val="20"/>
              </w:rPr>
              <w:t>1</w:t>
            </w:r>
            <w:r w:rsidRPr="00065A04">
              <w:rPr>
                <w:rFonts w:ascii="Times New Roman" w:hAnsi="Times New Roman"/>
                <w:color w:val="000000"/>
                <w:sz w:val="20"/>
                <w:szCs w:val="20"/>
              </w:rPr>
              <w:t xml:space="preserve">,село </w:t>
            </w:r>
            <w:r w:rsidR="00F54139">
              <w:rPr>
                <w:rFonts w:ascii="Times New Roman" w:hAnsi="Times New Roman"/>
                <w:color w:val="000000"/>
                <w:sz w:val="20"/>
                <w:szCs w:val="20"/>
              </w:rPr>
              <w:t>Підкормілля</w:t>
            </w:r>
            <w:r w:rsidRPr="00065A04">
              <w:rPr>
                <w:rFonts w:ascii="Times New Roman" w:hAnsi="Times New Roman"/>
                <w:color w:val="000000"/>
                <w:sz w:val="20"/>
                <w:szCs w:val="20"/>
              </w:rPr>
              <w:t>,   Камінь-Каширський</w:t>
            </w:r>
            <w:r w:rsidR="00F54139">
              <w:rPr>
                <w:rFonts w:ascii="Times New Roman" w:hAnsi="Times New Roman"/>
                <w:color w:val="000000"/>
                <w:sz w:val="20"/>
                <w:szCs w:val="20"/>
              </w:rPr>
              <w:t xml:space="preserve"> </w:t>
            </w:r>
            <w:r w:rsidRPr="00065A04">
              <w:rPr>
                <w:rFonts w:ascii="Times New Roman" w:hAnsi="Times New Roman"/>
                <w:color w:val="000000"/>
                <w:sz w:val="20"/>
                <w:szCs w:val="20"/>
              </w:rPr>
              <w:t>район,Волинська область</w:t>
            </w:r>
          </w:p>
        </w:tc>
        <w:tc>
          <w:tcPr>
            <w:tcW w:w="516" w:type="dxa"/>
          </w:tcPr>
          <w:p w:rsidR="001D779B" w:rsidRPr="002A140C" w:rsidRDefault="00F54139" w:rsidP="00401CCD">
            <w:pPr>
              <w:spacing w:line="252" w:lineRule="auto"/>
              <w:rPr>
                <w:rFonts w:ascii="Times New Roman" w:hAnsi="Times New Roman"/>
                <w:color w:val="000000"/>
                <w:sz w:val="20"/>
                <w:szCs w:val="20"/>
              </w:rPr>
            </w:pPr>
            <w:r>
              <w:rPr>
                <w:rFonts w:ascii="Times New Roman" w:hAnsi="Times New Roman"/>
                <w:color w:val="000000"/>
                <w:sz w:val="20"/>
                <w:szCs w:val="20"/>
              </w:rPr>
              <w:t>9</w:t>
            </w:r>
          </w:p>
        </w:tc>
      </w:tr>
      <w:tr w:rsidR="001D779B" w:rsidRPr="00065A04" w:rsidTr="00F54139">
        <w:trPr>
          <w:trHeight w:val="90"/>
        </w:trPr>
        <w:tc>
          <w:tcPr>
            <w:tcW w:w="486" w:type="dxa"/>
            <w:shd w:val="clear" w:color="auto" w:fill="auto"/>
            <w:noWrap/>
            <w:vAlign w:val="bottom"/>
          </w:tcPr>
          <w:p w:rsidR="001D779B" w:rsidRPr="00065A04" w:rsidRDefault="001D779B" w:rsidP="00401CCD">
            <w:pPr>
              <w:spacing w:line="252" w:lineRule="auto"/>
              <w:jc w:val="right"/>
              <w:rPr>
                <w:rFonts w:ascii="Times New Roman" w:hAnsi="Times New Roman"/>
                <w:color w:val="000000"/>
                <w:sz w:val="20"/>
              </w:rPr>
            </w:pPr>
            <w:r w:rsidRPr="00065A04">
              <w:rPr>
                <w:rFonts w:ascii="Times New Roman" w:hAnsi="Times New Roman"/>
                <w:color w:val="000000"/>
                <w:sz w:val="20"/>
              </w:rPr>
              <w:t>3</w:t>
            </w:r>
          </w:p>
        </w:tc>
        <w:tc>
          <w:tcPr>
            <w:tcW w:w="3706" w:type="dxa"/>
          </w:tcPr>
          <w:p w:rsidR="001D779B" w:rsidRPr="00065A04" w:rsidRDefault="00F54139" w:rsidP="00401CCD">
            <w:pPr>
              <w:spacing w:line="252" w:lineRule="auto"/>
              <w:rPr>
                <w:rFonts w:ascii="Times New Roman" w:hAnsi="Times New Roman"/>
                <w:color w:val="000000"/>
                <w:sz w:val="20"/>
                <w:szCs w:val="20"/>
              </w:rPr>
            </w:pPr>
            <w:r>
              <w:rPr>
                <w:rFonts w:ascii="Times New Roman" w:hAnsi="Times New Roman"/>
                <w:color w:val="000000"/>
                <w:sz w:val="20"/>
                <w:szCs w:val="20"/>
              </w:rPr>
              <w:t>«Селісоцька початкова школа» - філія ОЗЗСО «Любешівський ліцей»</w:t>
            </w:r>
          </w:p>
        </w:tc>
        <w:tc>
          <w:tcPr>
            <w:tcW w:w="4513" w:type="dxa"/>
            <w:shd w:val="clear" w:color="auto" w:fill="auto"/>
            <w:noWrap/>
            <w:vAlign w:val="center"/>
          </w:tcPr>
          <w:p w:rsidR="001D779B" w:rsidRPr="00065A04" w:rsidRDefault="001D779B" w:rsidP="00F54139">
            <w:pPr>
              <w:spacing w:line="252" w:lineRule="auto"/>
              <w:rPr>
                <w:rFonts w:ascii="Times New Roman" w:hAnsi="Times New Roman"/>
                <w:color w:val="000000"/>
                <w:sz w:val="20"/>
                <w:szCs w:val="20"/>
              </w:rPr>
            </w:pPr>
            <w:r w:rsidRPr="00065A04">
              <w:rPr>
                <w:rFonts w:ascii="Times New Roman" w:hAnsi="Times New Roman"/>
                <w:color w:val="000000"/>
                <w:sz w:val="20"/>
                <w:szCs w:val="20"/>
              </w:rPr>
              <w:t>442</w:t>
            </w:r>
            <w:r w:rsidR="00F54139">
              <w:rPr>
                <w:rFonts w:ascii="Times New Roman" w:hAnsi="Times New Roman"/>
                <w:color w:val="000000"/>
                <w:sz w:val="20"/>
                <w:szCs w:val="20"/>
              </w:rPr>
              <w:t>15</w:t>
            </w:r>
            <w:r w:rsidRPr="00065A04">
              <w:rPr>
                <w:rFonts w:ascii="Times New Roman" w:hAnsi="Times New Roman"/>
                <w:color w:val="000000"/>
                <w:sz w:val="20"/>
                <w:szCs w:val="20"/>
              </w:rPr>
              <w:t xml:space="preserve">, вул. </w:t>
            </w:r>
            <w:r w:rsidR="00F54139">
              <w:rPr>
                <w:rFonts w:ascii="Times New Roman" w:hAnsi="Times New Roman"/>
                <w:color w:val="000000"/>
                <w:sz w:val="20"/>
                <w:szCs w:val="20"/>
              </w:rPr>
              <w:t>Незалежності</w:t>
            </w:r>
            <w:r w:rsidRPr="00065A04">
              <w:rPr>
                <w:rFonts w:ascii="Times New Roman" w:hAnsi="Times New Roman"/>
                <w:color w:val="000000"/>
                <w:sz w:val="20"/>
                <w:szCs w:val="20"/>
              </w:rPr>
              <w:t xml:space="preserve">, буд </w:t>
            </w:r>
            <w:r w:rsidR="00F54139">
              <w:rPr>
                <w:rFonts w:ascii="Times New Roman" w:hAnsi="Times New Roman"/>
                <w:color w:val="000000"/>
                <w:sz w:val="20"/>
                <w:szCs w:val="20"/>
              </w:rPr>
              <w:t>7</w:t>
            </w:r>
            <w:r w:rsidRPr="00065A04">
              <w:rPr>
                <w:rFonts w:ascii="Times New Roman" w:hAnsi="Times New Roman"/>
                <w:color w:val="000000"/>
                <w:sz w:val="20"/>
                <w:szCs w:val="20"/>
              </w:rPr>
              <w:t xml:space="preserve">, село </w:t>
            </w:r>
            <w:r w:rsidR="00F54139">
              <w:rPr>
                <w:rFonts w:ascii="Times New Roman" w:hAnsi="Times New Roman"/>
                <w:color w:val="000000"/>
                <w:sz w:val="20"/>
                <w:szCs w:val="20"/>
              </w:rPr>
              <w:t>Селісок</w:t>
            </w:r>
            <w:r w:rsidRPr="00065A04">
              <w:rPr>
                <w:rFonts w:ascii="Times New Roman" w:hAnsi="Times New Roman"/>
                <w:color w:val="000000"/>
                <w:sz w:val="20"/>
                <w:szCs w:val="20"/>
              </w:rPr>
              <w:t>, Камінь-Каширський район, Волинська область</w:t>
            </w:r>
          </w:p>
        </w:tc>
        <w:tc>
          <w:tcPr>
            <w:tcW w:w="516" w:type="dxa"/>
          </w:tcPr>
          <w:p w:rsidR="001D779B" w:rsidRPr="00065A04" w:rsidRDefault="00F54139" w:rsidP="00401CCD">
            <w:pPr>
              <w:spacing w:line="252" w:lineRule="auto"/>
              <w:rPr>
                <w:rFonts w:ascii="Times New Roman" w:hAnsi="Times New Roman"/>
                <w:color w:val="000000"/>
                <w:sz w:val="20"/>
                <w:szCs w:val="20"/>
              </w:rPr>
            </w:pPr>
            <w:r>
              <w:rPr>
                <w:rFonts w:ascii="Times New Roman" w:hAnsi="Times New Roman"/>
                <w:color w:val="000000"/>
                <w:sz w:val="20"/>
                <w:szCs w:val="20"/>
              </w:rPr>
              <w:t>4</w:t>
            </w:r>
          </w:p>
        </w:tc>
      </w:tr>
      <w:tr w:rsidR="00F54139" w:rsidRPr="00065A04" w:rsidTr="00F54139">
        <w:trPr>
          <w:trHeight w:val="90"/>
        </w:trPr>
        <w:tc>
          <w:tcPr>
            <w:tcW w:w="486" w:type="dxa"/>
            <w:shd w:val="clear" w:color="auto" w:fill="auto"/>
            <w:noWrap/>
            <w:vAlign w:val="bottom"/>
          </w:tcPr>
          <w:p w:rsidR="00F54139" w:rsidRPr="00065A04" w:rsidRDefault="00F54139" w:rsidP="00401CCD">
            <w:pPr>
              <w:spacing w:line="252" w:lineRule="auto"/>
              <w:jc w:val="right"/>
              <w:rPr>
                <w:rFonts w:ascii="Times New Roman" w:hAnsi="Times New Roman"/>
                <w:color w:val="000000"/>
                <w:sz w:val="20"/>
              </w:rPr>
            </w:pPr>
          </w:p>
        </w:tc>
        <w:tc>
          <w:tcPr>
            <w:tcW w:w="3706" w:type="dxa"/>
          </w:tcPr>
          <w:p w:rsidR="00F54139" w:rsidRDefault="00F54139" w:rsidP="00401CCD">
            <w:pPr>
              <w:spacing w:line="252" w:lineRule="auto"/>
              <w:rPr>
                <w:rFonts w:ascii="Times New Roman" w:hAnsi="Times New Roman"/>
                <w:color w:val="000000"/>
                <w:sz w:val="20"/>
                <w:szCs w:val="20"/>
              </w:rPr>
            </w:pPr>
            <w:r>
              <w:rPr>
                <w:rFonts w:ascii="Times New Roman" w:hAnsi="Times New Roman"/>
                <w:color w:val="000000"/>
                <w:sz w:val="20"/>
                <w:szCs w:val="20"/>
              </w:rPr>
              <w:t>ВСЬОГО:</w:t>
            </w:r>
          </w:p>
        </w:tc>
        <w:tc>
          <w:tcPr>
            <w:tcW w:w="4513" w:type="dxa"/>
            <w:shd w:val="clear" w:color="auto" w:fill="auto"/>
            <w:noWrap/>
            <w:vAlign w:val="center"/>
          </w:tcPr>
          <w:p w:rsidR="00F54139" w:rsidRPr="00065A04" w:rsidRDefault="00F54139" w:rsidP="00F54139">
            <w:pPr>
              <w:spacing w:line="252" w:lineRule="auto"/>
              <w:rPr>
                <w:rFonts w:ascii="Times New Roman" w:hAnsi="Times New Roman"/>
                <w:color w:val="000000"/>
                <w:sz w:val="20"/>
                <w:szCs w:val="20"/>
              </w:rPr>
            </w:pPr>
          </w:p>
        </w:tc>
        <w:tc>
          <w:tcPr>
            <w:tcW w:w="516" w:type="dxa"/>
          </w:tcPr>
          <w:p w:rsidR="00F54139" w:rsidRDefault="00994D5F" w:rsidP="00016D74">
            <w:pPr>
              <w:spacing w:line="252" w:lineRule="auto"/>
              <w:rPr>
                <w:rFonts w:ascii="Times New Roman" w:hAnsi="Times New Roman"/>
                <w:color w:val="000000"/>
                <w:sz w:val="20"/>
                <w:szCs w:val="20"/>
              </w:rPr>
            </w:pPr>
            <w:r>
              <w:rPr>
                <w:rFonts w:ascii="Times New Roman" w:hAnsi="Times New Roman"/>
                <w:color w:val="000000"/>
                <w:sz w:val="20"/>
                <w:szCs w:val="20"/>
              </w:rPr>
              <w:t>15</w:t>
            </w:r>
            <w:r w:rsidR="00016D74">
              <w:rPr>
                <w:rFonts w:ascii="Times New Roman" w:hAnsi="Times New Roman"/>
                <w:color w:val="000000"/>
                <w:sz w:val="20"/>
                <w:szCs w:val="20"/>
              </w:rPr>
              <w:t>7</w:t>
            </w:r>
          </w:p>
        </w:tc>
      </w:tr>
    </w:tbl>
    <w:p w:rsidR="001D779B" w:rsidRPr="00065A04" w:rsidRDefault="001D779B" w:rsidP="001D779B">
      <w:pPr>
        <w:tabs>
          <w:tab w:val="left" w:pos="1827"/>
          <w:tab w:val="center" w:pos="5311"/>
        </w:tabs>
        <w:spacing w:after="0" w:line="252" w:lineRule="auto"/>
        <w:jc w:val="center"/>
        <w:rPr>
          <w:b/>
        </w:rPr>
      </w:pPr>
    </w:p>
    <w:p w:rsidR="001D779B" w:rsidRPr="001D779B" w:rsidRDefault="001D779B" w:rsidP="001D779B">
      <w:pPr>
        <w:pStyle w:val="a3"/>
        <w:widowControl w:val="0"/>
        <w:spacing w:after="0" w:line="240" w:lineRule="auto"/>
        <w:ind w:left="1065"/>
        <w:jc w:val="both"/>
        <w:rPr>
          <w:rFonts w:ascii="Times New Roman" w:eastAsia="Times New Roman" w:hAnsi="Times New Roman" w:cs="Times New Roman"/>
          <w:b/>
          <w:sz w:val="24"/>
          <w:szCs w:val="24"/>
        </w:rPr>
      </w:pPr>
    </w:p>
    <w:sectPr w:rsidR="001D779B" w:rsidRPr="001D779B" w:rsidSect="009A1C3D">
      <w:footerReference w:type="default" r:id="rId7"/>
      <w:headerReference w:type="firs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A92" w:rsidRDefault="006F7A92">
      <w:pPr>
        <w:spacing w:after="0" w:line="240" w:lineRule="auto"/>
      </w:pPr>
      <w:r>
        <w:separator/>
      </w:r>
    </w:p>
  </w:endnote>
  <w:endnote w:type="continuationSeparator" w:id="1">
    <w:p w:rsidR="006F7A92" w:rsidRDefault="006F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B0" w:rsidRDefault="00E92430">
    <w:pPr>
      <w:jc w:val="right"/>
    </w:pPr>
    <w:r>
      <w:rPr>
        <w:rFonts w:ascii="Times New Roman" w:eastAsia="Times New Roman" w:hAnsi="Times New Roman" w:cs="Times New Roman"/>
        <w:sz w:val="24"/>
        <w:szCs w:val="24"/>
      </w:rPr>
      <w:fldChar w:fldCharType="begin"/>
    </w:r>
    <w:r w:rsidR="00491D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6D7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B0" w:rsidRDefault="00491D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A92" w:rsidRDefault="006F7A92">
      <w:pPr>
        <w:spacing w:after="0" w:line="240" w:lineRule="auto"/>
      </w:pPr>
      <w:r>
        <w:separator/>
      </w:r>
    </w:p>
  </w:footnote>
  <w:footnote w:type="continuationSeparator" w:id="1">
    <w:p w:rsidR="006F7A92" w:rsidRDefault="006F7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B0" w:rsidRDefault="00491DB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47A7"/>
    <w:multiLevelType w:val="hybridMultilevel"/>
    <w:tmpl w:val="151E770C"/>
    <w:lvl w:ilvl="0" w:tplc="85C0B3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40C3"/>
    <w:rsid w:val="00016D74"/>
    <w:rsid w:val="001016EB"/>
    <w:rsid w:val="001A5EC1"/>
    <w:rsid w:val="001D779B"/>
    <w:rsid w:val="00220EBA"/>
    <w:rsid w:val="002A140C"/>
    <w:rsid w:val="002F49B2"/>
    <w:rsid w:val="00334454"/>
    <w:rsid w:val="00353249"/>
    <w:rsid w:val="003B14F6"/>
    <w:rsid w:val="00491DB0"/>
    <w:rsid w:val="004B4961"/>
    <w:rsid w:val="00533148"/>
    <w:rsid w:val="00593214"/>
    <w:rsid w:val="006437C2"/>
    <w:rsid w:val="006F7A92"/>
    <w:rsid w:val="007968DF"/>
    <w:rsid w:val="007F2222"/>
    <w:rsid w:val="00846CA6"/>
    <w:rsid w:val="008676F2"/>
    <w:rsid w:val="0091656E"/>
    <w:rsid w:val="0093581D"/>
    <w:rsid w:val="00994D5F"/>
    <w:rsid w:val="009A1C3D"/>
    <w:rsid w:val="00AE1B15"/>
    <w:rsid w:val="00C43ABE"/>
    <w:rsid w:val="00C74DD2"/>
    <w:rsid w:val="00CB143D"/>
    <w:rsid w:val="00CB1A1B"/>
    <w:rsid w:val="00D240C3"/>
    <w:rsid w:val="00DD3BB3"/>
    <w:rsid w:val="00E424D0"/>
    <w:rsid w:val="00E92430"/>
    <w:rsid w:val="00E94EEA"/>
    <w:rsid w:val="00F20957"/>
    <w:rsid w:val="00F54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1B"/>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B1A1B"/>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A1B"/>
    <w:rPr>
      <w:rFonts w:ascii="Calibri" w:eastAsia="Calibri" w:hAnsi="Calibri" w:cs="Calibri"/>
      <w:b/>
      <w:sz w:val="48"/>
      <w:szCs w:val="48"/>
      <w:lang w:val="uk-UA" w:eastAsia="ru-RU"/>
    </w:rPr>
  </w:style>
  <w:style w:type="paragraph" w:styleId="a3">
    <w:name w:val="List Paragraph"/>
    <w:basedOn w:val="a"/>
    <w:uiPriority w:val="34"/>
    <w:qFormat/>
    <w:rsid w:val="00CB1A1B"/>
    <w:pPr>
      <w:ind w:left="720"/>
      <w:contextualSpacing/>
    </w:pPr>
  </w:style>
  <w:style w:type="paragraph" w:styleId="a4">
    <w:name w:val="Normal (Web)"/>
    <w:basedOn w:val="a"/>
    <w:link w:val="a5"/>
    <w:uiPriority w:val="99"/>
    <w:qFormat/>
    <w:rsid w:val="00CB1A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CB1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Звичайний (веб) Знак"/>
    <w:link w:val="a4"/>
    <w:uiPriority w:val="99"/>
    <w:locked/>
    <w:rsid w:val="00CB1A1B"/>
    <w:rPr>
      <w:rFonts w:ascii="Times New Roman" w:eastAsia="Times New Roman" w:hAnsi="Times New Roman" w:cs="Times New Roman"/>
      <w:sz w:val="24"/>
      <w:szCs w:val="24"/>
      <w:lang w:val="uk-UA" w:eastAsia="uk-UA"/>
    </w:rPr>
  </w:style>
  <w:style w:type="paragraph" w:customStyle="1" w:styleId="11">
    <w:name w:val="Основний текст1"/>
    <w:basedOn w:val="a"/>
    <w:uiPriority w:val="99"/>
    <w:qFormat/>
    <w:rsid w:val="00CB1A1B"/>
    <w:pPr>
      <w:spacing w:after="140" w:line="288" w:lineRule="auto"/>
    </w:pPr>
    <w:rPr>
      <w:rFonts w:ascii="Liberation Serif" w:eastAsia="Times New Roman" w:hAnsi="Liberation Serif" w:cs="Lohit Devanagari"/>
      <w:color w:val="00000A"/>
      <w:sz w:val="24"/>
      <w:szCs w:val="24"/>
      <w:lang w:eastAsia="zh-CN" w:bidi="hi-IN"/>
    </w:rPr>
  </w:style>
  <w:style w:type="table" w:styleId="a6">
    <w:name w:val="Table Grid"/>
    <w:basedOn w:val="a1"/>
    <w:uiPriority w:val="39"/>
    <w:rsid w:val="00F20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623</Words>
  <Characters>3555</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dcterms:created xsi:type="dcterms:W3CDTF">2023-12-08T13:13:00Z</dcterms:created>
  <dcterms:modified xsi:type="dcterms:W3CDTF">2023-12-08T19:09:00Z</dcterms:modified>
</cp:coreProperties>
</file>