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860866" w:rsidRDefault="001E5A04" w:rsidP="00583217">
      <w:pPr>
        <w:spacing w:after="0" w:line="240" w:lineRule="auto"/>
        <w:jc w:val="center"/>
        <w:rPr>
          <w:rFonts w:ascii="Times New Roman" w:eastAsia="Times New Roman" w:hAnsi="Times New Roman" w:cs="Times New Roman"/>
          <w:b/>
          <w:bCs/>
          <w:color w:val="000000" w:themeColor="text1"/>
          <w:szCs w:val="24"/>
          <w:lang w:eastAsia="uk-UA"/>
        </w:rPr>
      </w:pPr>
      <w:r w:rsidRPr="00B27718">
        <w:rPr>
          <w:rFonts w:ascii="Times New Roman" w:eastAsia="Times New Roman" w:hAnsi="Times New Roman" w:cs="Times New Roman"/>
          <w:b/>
          <w:bCs/>
          <w:color w:val="FF0000"/>
          <w:szCs w:val="24"/>
          <w:lang w:eastAsia="uk-UA"/>
        </w:rPr>
        <w:t xml:space="preserve">                                        </w:t>
      </w:r>
      <w:r w:rsidR="00012492" w:rsidRPr="00B27718">
        <w:rPr>
          <w:rFonts w:ascii="Times New Roman" w:eastAsia="Times New Roman" w:hAnsi="Times New Roman" w:cs="Times New Roman"/>
          <w:b/>
          <w:bCs/>
          <w:color w:val="FF0000"/>
          <w:szCs w:val="24"/>
          <w:lang w:eastAsia="uk-UA"/>
        </w:rPr>
        <w:t xml:space="preserve">                    </w:t>
      </w:r>
      <w:r w:rsidR="008A6E4E" w:rsidRPr="00B27718">
        <w:rPr>
          <w:rFonts w:ascii="Times New Roman" w:eastAsia="Times New Roman" w:hAnsi="Times New Roman" w:cs="Times New Roman"/>
          <w:b/>
          <w:bCs/>
          <w:color w:val="FF0000"/>
          <w:szCs w:val="24"/>
          <w:lang w:eastAsia="uk-UA"/>
        </w:rPr>
        <w:t xml:space="preserve"> </w:t>
      </w:r>
      <w:r w:rsidR="00817B15">
        <w:rPr>
          <w:rFonts w:ascii="Times New Roman" w:eastAsia="Times New Roman" w:hAnsi="Times New Roman" w:cs="Times New Roman"/>
          <w:b/>
          <w:bCs/>
          <w:color w:val="FF0000"/>
          <w:szCs w:val="24"/>
          <w:lang w:eastAsia="uk-UA"/>
        </w:rPr>
        <w:t xml:space="preserve">            </w:t>
      </w:r>
      <w:r w:rsidR="004E5B8C" w:rsidRPr="00860866">
        <w:rPr>
          <w:rFonts w:ascii="Times New Roman" w:eastAsia="Times New Roman" w:hAnsi="Times New Roman" w:cs="Times New Roman"/>
          <w:b/>
          <w:bCs/>
          <w:color w:val="000000" w:themeColor="text1"/>
          <w:szCs w:val="24"/>
          <w:lang w:eastAsia="uk-UA"/>
        </w:rPr>
        <w:t xml:space="preserve">від </w:t>
      </w:r>
      <w:r w:rsidR="0014564C" w:rsidRPr="00860866">
        <w:rPr>
          <w:rFonts w:ascii="Times New Roman" w:eastAsia="Times New Roman" w:hAnsi="Times New Roman" w:cs="Times New Roman"/>
          <w:b/>
          <w:bCs/>
          <w:color w:val="000000" w:themeColor="text1"/>
          <w:szCs w:val="24"/>
          <w:lang w:eastAsia="uk-UA"/>
        </w:rPr>
        <w:t>«</w:t>
      </w:r>
      <w:r w:rsidR="00CE1E17">
        <w:rPr>
          <w:rFonts w:ascii="Times New Roman" w:eastAsia="Times New Roman" w:hAnsi="Times New Roman" w:cs="Times New Roman"/>
          <w:b/>
          <w:bCs/>
          <w:color w:val="000000" w:themeColor="text1"/>
          <w:szCs w:val="24"/>
          <w:lang w:eastAsia="uk-UA"/>
        </w:rPr>
        <w:t>1</w:t>
      </w:r>
      <w:r w:rsidR="00CE47C2">
        <w:rPr>
          <w:rFonts w:ascii="Times New Roman" w:eastAsia="Times New Roman" w:hAnsi="Times New Roman" w:cs="Times New Roman"/>
          <w:b/>
          <w:bCs/>
          <w:color w:val="000000" w:themeColor="text1"/>
          <w:szCs w:val="24"/>
          <w:lang w:eastAsia="uk-UA"/>
        </w:rPr>
        <w:t>8</w:t>
      </w:r>
      <w:bookmarkStart w:id="0" w:name="_GoBack"/>
      <w:bookmarkEnd w:id="0"/>
      <w:r w:rsidR="0014564C" w:rsidRPr="00860866">
        <w:rPr>
          <w:rFonts w:ascii="Times New Roman" w:eastAsia="Times New Roman" w:hAnsi="Times New Roman" w:cs="Times New Roman"/>
          <w:b/>
          <w:bCs/>
          <w:color w:val="000000" w:themeColor="text1"/>
          <w:szCs w:val="24"/>
          <w:lang w:eastAsia="uk-UA"/>
        </w:rPr>
        <w:t>»</w:t>
      </w:r>
      <w:r w:rsidR="007B2DE0" w:rsidRPr="00860866">
        <w:rPr>
          <w:rFonts w:ascii="Times New Roman" w:eastAsia="Times New Roman" w:hAnsi="Times New Roman" w:cs="Times New Roman"/>
          <w:b/>
          <w:bCs/>
          <w:color w:val="000000" w:themeColor="text1"/>
          <w:szCs w:val="24"/>
          <w:lang w:eastAsia="uk-UA"/>
        </w:rPr>
        <w:t xml:space="preserve"> </w:t>
      </w:r>
      <w:r w:rsidR="00817B15">
        <w:rPr>
          <w:rFonts w:ascii="Times New Roman" w:eastAsia="Times New Roman" w:hAnsi="Times New Roman" w:cs="Times New Roman"/>
          <w:b/>
          <w:bCs/>
          <w:color w:val="000000" w:themeColor="text1"/>
          <w:szCs w:val="24"/>
          <w:lang w:eastAsia="uk-UA"/>
        </w:rPr>
        <w:t>грудня</w:t>
      </w:r>
      <w:r w:rsidR="000D2FDF" w:rsidRPr="00860866">
        <w:rPr>
          <w:rFonts w:ascii="Times New Roman" w:eastAsia="Times New Roman" w:hAnsi="Times New Roman" w:cs="Times New Roman"/>
          <w:b/>
          <w:bCs/>
          <w:color w:val="000000" w:themeColor="text1"/>
          <w:szCs w:val="24"/>
          <w:lang w:eastAsia="uk-UA"/>
        </w:rPr>
        <w:t xml:space="preserve"> </w:t>
      </w:r>
      <w:r w:rsidR="00F35E44" w:rsidRPr="00860866">
        <w:rPr>
          <w:rFonts w:ascii="Times New Roman" w:eastAsia="Times New Roman" w:hAnsi="Times New Roman" w:cs="Times New Roman"/>
          <w:b/>
          <w:bCs/>
          <w:color w:val="000000" w:themeColor="text1"/>
          <w:szCs w:val="24"/>
          <w:lang w:eastAsia="uk-UA"/>
        </w:rPr>
        <w:t>2023</w:t>
      </w:r>
      <w:r w:rsidRPr="00860866">
        <w:rPr>
          <w:rFonts w:ascii="Times New Roman" w:eastAsia="Times New Roman" w:hAnsi="Times New Roman" w:cs="Times New Roman"/>
          <w:b/>
          <w:bCs/>
          <w:color w:val="000000" w:themeColor="text1"/>
          <w:szCs w:val="24"/>
          <w:lang w:eastAsia="uk-UA"/>
        </w:rPr>
        <w:t xml:space="preserve"> р</w:t>
      </w:r>
      <w:r w:rsidR="00F02CC9" w:rsidRPr="00860866">
        <w:rPr>
          <w:rFonts w:ascii="Times New Roman" w:eastAsia="Times New Roman" w:hAnsi="Times New Roman" w:cs="Times New Roman"/>
          <w:b/>
          <w:bCs/>
          <w:color w:val="000000" w:themeColor="text1"/>
          <w:szCs w:val="24"/>
          <w:lang w:eastAsia="uk-UA"/>
        </w:rPr>
        <w:t xml:space="preserve"> №</w:t>
      </w:r>
      <w:r w:rsidR="001B7365" w:rsidRPr="00860866">
        <w:rPr>
          <w:rFonts w:ascii="Times New Roman" w:eastAsia="Times New Roman" w:hAnsi="Times New Roman" w:cs="Times New Roman"/>
          <w:b/>
          <w:bCs/>
          <w:color w:val="000000" w:themeColor="text1"/>
          <w:szCs w:val="24"/>
          <w:lang w:eastAsia="uk-UA"/>
        </w:rPr>
        <w:t xml:space="preserve"> </w:t>
      </w:r>
      <w:r w:rsidR="00C22FA3">
        <w:rPr>
          <w:rFonts w:ascii="Times New Roman" w:eastAsia="Times New Roman" w:hAnsi="Times New Roman" w:cs="Times New Roman"/>
          <w:b/>
          <w:bCs/>
          <w:color w:val="000000" w:themeColor="text1"/>
          <w:szCs w:val="24"/>
          <w:lang w:eastAsia="uk-UA"/>
        </w:rPr>
        <w:t>10</w:t>
      </w:r>
      <w:r w:rsidR="00673050">
        <w:rPr>
          <w:rFonts w:ascii="Times New Roman" w:eastAsia="Times New Roman" w:hAnsi="Times New Roman" w:cs="Times New Roman"/>
          <w:b/>
          <w:bCs/>
          <w:color w:val="000000" w:themeColor="text1"/>
          <w:szCs w:val="24"/>
          <w:lang w:eastAsia="uk-UA"/>
        </w:rPr>
        <w:t>7</w:t>
      </w:r>
      <w:r w:rsidR="001B7365" w:rsidRPr="00860866">
        <w:rPr>
          <w:rFonts w:ascii="Times New Roman" w:eastAsia="Times New Roman" w:hAnsi="Times New Roman" w:cs="Times New Roman"/>
          <w:b/>
          <w:bCs/>
          <w:color w:val="000000" w:themeColor="text1"/>
          <w:szCs w:val="24"/>
          <w:lang w:eastAsia="uk-UA"/>
        </w:rPr>
        <w:t>-</w:t>
      </w:r>
      <w:r w:rsidR="00860866">
        <w:rPr>
          <w:rFonts w:ascii="Times New Roman" w:eastAsia="Times New Roman" w:hAnsi="Times New Roman" w:cs="Times New Roman"/>
          <w:b/>
          <w:bCs/>
          <w:color w:val="000000" w:themeColor="text1"/>
          <w:szCs w:val="24"/>
          <w:lang w:eastAsia="uk-UA"/>
        </w:rPr>
        <w:t>2</w:t>
      </w:r>
      <w:r w:rsidR="001B7365" w:rsidRPr="00860866">
        <w:rPr>
          <w:rFonts w:ascii="Times New Roman" w:eastAsia="Times New Roman" w:hAnsi="Times New Roman" w:cs="Times New Roman"/>
          <w:b/>
          <w:bCs/>
          <w:color w:val="000000" w:themeColor="text1"/>
          <w:szCs w:val="24"/>
          <w:lang w:eastAsia="uk-UA"/>
        </w:rPr>
        <w:t>-2023</w:t>
      </w:r>
      <w:r w:rsidR="00F02CC9" w:rsidRPr="00860866">
        <w:rPr>
          <w:rFonts w:ascii="Times New Roman" w:eastAsia="Times New Roman" w:hAnsi="Times New Roman" w:cs="Times New Roman"/>
          <w:b/>
          <w:bCs/>
          <w:color w:val="000000" w:themeColor="text1"/>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583217" w:rsidRPr="00860866" w:rsidRDefault="00860866" w:rsidP="00974502">
      <w:pPr>
        <w:spacing w:after="0" w:line="240" w:lineRule="auto"/>
        <w:jc w:val="center"/>
        <w:rPr>
          <w:rFonts w:ascii="Times New Roman" w:eastAsia="Times New Roman" w:hAnsi="Times New Roman" w:cs="Times New Roman"/>
          <w:b/>
          <w:bCs/>
          <w:color w:val="000000" w:themeColor="text1"/>
          <w:szCs w:val="24"/>
          <w:lang w:eastAsia="uk-UA"/>
        </w:rPr>
      </w:pPr>
      <w:r w:rsidRPr="00860866">
        <w:rPr>
          <w:rFonts w:ascii="Times New Roman" w:eastAsia="Times New Roman" w:hAnsi="Times New Roman" w:cs="Times New Roman"/>
          <w:b/>
          <w:bCs/>
          <w:color w:val="000000" w:themeColor="text1"/>
          <w:szCs w:val="24"/>
          <w:lang w:eastAsia="uk-UA"/>
        </w:rPr>
        <w:t>ТЕНДЕРНА</w:t>
      </w:r>
      <w:r w:rsidR="00974502" w:rsidRPr="00860866">
        <w:rPr>
          <w:rFonts w:ascii="Times New Roman" w:eastAsia="Times New Roman" w:hAnsi="Times New Roman" w:cs="Times New Roman"/>
          <w:b/>
          <w:bCs/>
          <w:color w:val="000000" w:themeColor="text1"/>
          <w:szCs w:val="24"/>
          <w:lang w:eastAsia="uk-UA"/>
        </w:rPr>
        <w:t xml:space="preserve"> </w:t>
      </w:r>
      <w:r w:rsidRPr="00860866">
        <w:rPr>
          <w:rFonts w:ascii="Times New Roman" w:eastAsia="Times New Roman" w:hAnsi="Times New Roman" w:cs="Times New Roman"/>
          <w:b/>
          <w:bCs/>
          <w:color w:val="000000" w:themeColor="text1"/>
          <w:szCs w:val="24"/>
          <w:lang w:eastAsia="uk-UA"/>
        </w:rPr>
        <w:t>ДОКУМЕНТАЦІЯ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583217" w:rsidRDefault="00C22FA3" w:rsidP="004757BE">
      <w:pPr>
        <w:spacing w:after="0"/>
        <w:ind w:firstLine="708"/>
        <w:jc w:val="center"/>
        <w:rPr>
          <w:rFonts w:ascii="Times New Roman" w:eastAsia="Times New Roman" w:hAnsi="Times New Roman" w:cs="Times New Roman"/>
          <w:szCs w:val="24"/>
          <w:lang w:eastAsia="uk-UA"/>
        </w:rPr>
      </w:pPr>
      <w:r>
        <w:rPr>
          <w:rFonts w:ascii="Times New Roman" w:hAnsi="Times New Roman"/>
          <w:b/>
          <w:szCs w:val="24"/>
        </w:rPr>
        <w:t>К</w:t>
      </w:r>
      <w:r w:rsidRPr="00C22FA3">
        <w:rPr>
          <w:rFonts w:ascii="Times New Roman" w:hAnsi="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673050" w:rsidRPr="00673050">
        <w:rPr>
          <w:rFonts w:ascii="Times New Roman" w:hAnsi="Times New Roman"/>
          <w:b/>
          <w:szCs w:val="24"/>
        </w:rPr>
        <w:t>км 113+400– км 120+900</w:t>
      </w:r>
      <w:r w:rsidRPr="00C22FA3">
        <w:rPr>
          <w:rFonts w:ascii="Times New Roman" w:hAnsi="Times New Roman"/>
          <w:b/>
          <w:szCs w:val="24"/>
        </w:rPr>
        <w:t>, Київська область (ДК 021:2015: 71322000-1 — Послуги з інженерного проектування в галузі цивільного будівництва)</w:t>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C22FA3" w:rsidRDefault="00C22FA3"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22FA3" w:rsidRDefault="00C22FA3" w:rsidP="00974502">
            <w:pPr>
              <w:spacing w:after="0"/>
              <w:jc w:val="both"/>
              <w:rPr>
                <w:rFonts w:ascii="Times New Roman" w:hAnsi="Times New Roman" w:cs="Times New Roman"/>
                <w:b/>
                <w:szCs w:val="24"/>
              </w:rPr>
            </w:pPr>
            <w:r>
              <w:rPr>
                <w:rFonts w:ascii="Times New Roman" w:hAnsi="Times New Roman" w:cs="Times New Roman"/>
                <w:b/>
                <w:szCs w:val="24"/>
              </w:rPr>
              <w:t>К</w:t>
            </w:r>
            <w:r w:rsidRPr="00C22FA3">
              <w:rPr>
                <w:rFonts w:ascii="Times New Roman" w:hAnsi="Times New Roman" w:cs="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673050" w:rsidRPr="00673050">
              <w:rPr>
                <w:rFonts w:ascii="Times New Roman" w:hAnsi="Times New Roman"/>
                <w:b/>
                <w:szCs w:val="24"/>
              </w:rPr>
              <w:t>км 113+400– км 120+900</w:t>
            </w:r>
            <w:r w:rsidRPr="00C22FA3">
              <w:rPr>
                <w:rFonts w:ascii="Times New Roman" w:hAnsi="Times New Roman" w:cs="Times New Roman"/>
                <w:b/>
                <w:szCs w:val="24"/>
              </w:rPr>
              <w:t>, Київська область (ДК 021:2015: 71322000-1 — Послуги з інженерного проектування в галузі цивільного будівництва)</w:t>
            </w:r>
            <w:r w:rsidR="004757BE" w:rsidRPr="00C22FA3">
              <w:rPr>
                <w:rFonts w:ascii="Times New Roman" w:eastAsia="Times New Roman" w:hAnsi="Times New Roman" w:cs="Times New Roman"/>
                <w:szCs w:val="24"/>
                <w:lang w:eastAsia="uk-UA"/>
              </w:rPr>
              <w:br/>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7BE" w:rsidRDefault="00583217" w:rsidP="004757BE">
            <w:pPr>
              <w:spacing w:after="0" w:line="240" w:lineRule="auto"/>
              <w:ind w:left="142"/>
              <w:jc w:val="both"/>
              <w:rPr>
                <w:rFonts w:ascii="Times New Roman" w:hAnsi="Times New Roman"/>
                <w:b/>
                <w:szCs w:val="24"/>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C22FA3" w:rsidRPr="00C22FA3">
              <w:rPr>
                <w:rFonts w:ascii="Times New Roman" w:hAnsi="Times New Roman" w:cs="Times New Roman"/>
                <w:b/>
                <w:szCs w:val="24"/>
              </w:rPr>
              <w:t>автомобільн</w:t>
            </w:r>
            <w:r w:rsidR="00C22FA3">
              <w:rPr>
                <w:rFonts w:ascii="Times New Roman" w:hAnsi="Times New Roman" w:cs="Times New Roman"/>
                <w:b/>
                <w:szCs w:val="24"/>
              </w:rPr>
              <w:t>а</w:t>
            </w:r>
            <w:r w:rsidR="00C22FA3" w:rsidRPr="00C22FA3">
              <w:rPr>
                <w:rFonts w:ascii="Times New Roman" w:hAnsi="Times New Roman" w:cs="Times New Roman"/>
                <w:b/>
                <w:szCs w:val="24"/>
              </w:rPr>
              <w:t xml:space="preserve"> дорог</w:t>
            </w:r>
            <w:r w:rsidR="00C22FA3">
              <w:rPr>
                <w:rFonts w:ascii="Times New Roman" w:hAnsi="Times New Roman" w:cs="Times New Roman"/>
                <w:b/>
                <w:szCs w:val="24"/>
              </w:rPr>
              <w:t>а</w:t>
            </w:r>
            <w:r w:rsidR="00C22FA3" w:rsidRPr="00C22FA3">
              <w:rPr>
                <w:rFonts w:ascii="Times New Roman" w:hAnsi="Times New Roman" w:cs="Times New Roman"/>
                <w:b/>
                <w:szCs w:val="24"/>
              </w:rPr>
              <w:t xml:space="preserve"> загального користування державного значення М-05 Київ-Одеса на ділянці </w:t>
            </w:r>
            <w:r w:rsidR="00673050" w:rsidRPr="00673050">
              <w:rPr>
                <w:rFonts w:ascii="Times New Roman" w:hAnsi="Times New Roman"/>
                <w:b/>
                <w:szCs w:val="24"/>
              </w:rPr>
              <w:t>км 113+400– км 120+900</w:t>
            </w:r>
            <w:r w:rsidR="00C22FA3" w:rsidRPr="00C22FA3">
              <w:rPr>
                <w:rFonts w:ascii="Times New Roman" w:hAnsi="Times New Roman" w:cs="Times New Roman"/>
                <w:b/>
                <w:szCs w:val="24"/>
              </w:rPr>
              <w:t>, Київська область</w:t>
            </w:r>
            <w:r w:rsidR="00C22FA3">
              <w:rPr>
                <w:rFonts w:ascii="Times New Roman" w:hAnsi="Times New Roman" w:cs="Times New Roman"/>
                <w:b/>
                <w:szCs w:val="24"/>
              </w:rPr>
              <w:t>.</w:t>
            </w:r>
          </w:p>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CE1E17">
            <w:pPr>
              <w:spacing w:after="0" w:line="240" w:lineRule="auto"/>
              <w:ind w:left="142"/>
              <w:jc w:val="both"/>
              <w:rPr>
                <w:rFonts w:ascii="Times New Roman" w:eastAsia="Times New Roman" w:hAnsi="Times New Roman" w:cs="Times New Roman"/>
                <w:b/>
                <w:szCs w:val="24"/>
                <w:highlight w:val="yellow"/>
                <w:lang w:eastAsia="uk-UA"/>
              </w:rPr>
            </w:pPr>
            <w:r w:rsidRPr="00CE1E17">
              <w:rPr>
                <w:rFonts w:ascii="Times New Roman" w:eastAsia="Times New Roman" w:hAnsi="Times New Roman" w:cs="Times New Roman"/>
                <w:b/>
                <w:color w:val="000000"/>
                <w:szCs w:val="24"/>
                <w:lang w:eastAsia="uk-UA"/>
              </w:rPr>
              <w:t xml:space="preserve">Строк виконання робіт </w:t>
            </w:r>
            <w:r w:rsidR="00DD70FC" w:rsidRPr="00CE1E17">
              <w:rPr>
                <w:rFonts w:ascii="Times New Roman" w:eastAsia="Times New Roman" w:hAnsi="Times New Roman" w:cs="Times New Roman"/>
                <w:b/>
                <w:color w:val="000000"/>
                <w:szCs w:val="24"/>
                <w:lang w:eastAsia="uk-UA"/>
              </w:rPr>
              <w:t>–</w:t>
            </w:r>
            <w:r w:rsidR="00E10228" w:rsidRPr="00CE1E17">
              <w:rPr>
                <w:rFonts w:ascii="Times New Roman" w:eastAsia="Times New Roman" w:hAnsi="Times New Roman" w:cs="Times New Roman"/>
                <w:b/>
                <w:color w:val="000000"/>
                <w:szCs w:val="24"/>
                <w:lang w:eastAsia="uk-UA"/>
              </w:rPr>
              <w:t xml:space="preserve"> </w:t>
            </w:r>
            <w:r w:rsidRPr="00CE1E17">
              <w:rPr>
                <w:rFonts w:ascii="Times New Roman" w:eastAsia="Times New Roman" w:hAnsi="Times New Roman" w:cs="Times New Roman"/>
                <w:b/>
                <w:color w:val="000000"/>
                <w:szCs w:val="24"/>
                <w:lang w:eastAsia="uk-UA"/>
              </w:rPr>
              <w:t xml:space="preserve">з дати укладання договору </w:t>
            </w:r>
            <w:r w:rsidRPr="00CE1E17">
              <w:rPr>
                <w:rFonts w:ascii="Times New Roman" w:eastAsia="Times New Roman" w:hAnsi="Times New Roman" w:cs="Times New Roman"/>
                <w:b/>
                <w:color w:val="000000" w:themeColor="text1"/>
                <w:szCs w:val="24"/>
                <w:lang w:eastAsia="uk-UA"/>
              </w:rPr>
              <w:t>до «</w:t>
            </w:r>
            <w:r w:rsidR="00CE1E17" w:rsidRPr="00CE1E17">
              <w:rPr>
                <w:rFonts w:ascii="Times New Roman" w:eastAsia="Times New Roman" w:hAnsi="Times New Roman" w:cs="Times New Roman"/>
                <w:b/>
                <w:color w:val="000000" w:themeColor="text1"/>
                <w:szCs w:val="24"/>
                <w:lang w:eastAsia="uk-UA"/>
              </w:rPr>
              <w:t>01</w:t>
            </w:r>
            <w:r w:rsidR="004E098C" w:rsidRPr="00CE1E17">
              <w:rPr>
                <w:rFonts w:ascii="Times New Roman" w:eastAsia="Times New Roman" w:hAnsi="Times New Roman" w:cs="Times New Roman"/>
                <w:b/>
                <w:color w:val="000000" w:themeColor="text1"/>
                <w:szCs w:val="24"/>
                <w:lang w:eastAsia="uk-UA"/>
              </w:rPr>
              <w:t xml:space="preserve">» </w:t>
            </w:r>
            <w:r w:rsidR="00CE1E17" w:rsidRPr="00CE1E17">
              <w:rPr>
                <w:rFonts w:ascii="Times New Roman" w:eastAsia="Times New Roman" w:hAnsi="Times New Roman" w:cs="Times New Roman"/>
                <w:b/>
                <w:color w:val="000000" w:themeColor="text1"/>
                <w:szCs w:val="24"/>
                <w:lang w:eastAsia="uk-UA"/>
              </w:rPr>
              <w:t>липня</w:t>
            </w:r>
            <w:r w:rsidR="00495F4B" w:rsidRPr="00CE1E17">
              <w:rPr>
                <w:rFonts w:ascii="Times New Roman" w:eastAsia="Times New Roman" w:hAnsi="Times New Roman" w:cs="Times New Roman"/>
                <w:b/>
                <w:color w:val="000000" w:themeColor="text1"/>
                <w:szCs w:val="24"/>
                <w:lang w:eastAsia="uk-UA"/>
              </w:rPr>
              <w:t xml:space="preserve"> </w:t>
            </w:r>
            <w:r w:rsidR="00E06E25" w:rsidRPr="00CE1E17">
              <w:rPr>
                <w:rFonts w:ascii="Times New Roman" w:eastAsia="Times New Roman" w:hAnsi="Times New Roman" w:cs="Times New Roman"/>
                <w:b/>
                <w:color w:val="000000" w:themeColor="text1"/>
                <w:szCs w:val="24"/>
                <w:lang w:eastAsia="uk-UA"/>
              </w:rPr>
              <w:t xml:space="preserve"> </w:t>
            </w:r>
            <w:r w:rsidRPr="00CE1E17">
              <w:rPr>
                <w:rFonts w:ascii="Times New Roman" w:eastAsia="Times New Roman" w:hAnsi="Times New Roman" w:cs="Times New Roman"/>
                <w:b/>
                <w:color w:val="000000" w:themeColor="text1"/>
                <w:szCs w:val="24"/>
                <w:lang w:eastAsia="uk-UA"/>
              </w:rPr>
              <w:t>202</w:t>
            </w:r>
            <w:r w:rsidR="00CE1E17" w:rsidRPr="00CE1E17">
              <w:rPr>
                <w:rFonts w:ascii="Times New Roman" w:eastAsia="Times New Roman" w:hAnsi="Times New Roman" w:cs="Times New Roman"/>
                <w:b/>
                <w:color w:val="000000" w:themeColor="text1"/>
                <w:szCs w:val="24"/>
                <w:lang w:eastAsia="uk-UA"/>
              </w:rPr>
              <w:t>4</w:t>
            </w:r>
            <w:r w:rsidR="0005617B" w:rsidRPr="00CE1E17">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54499D">
              <w:rPr>
                <w:rFonts w:ascii="Times New Roman" w:eastAsia="Times New Roman" w:hAnsi="Times New Roman" w:cs="Times New Roman"/>
                <w:b/>
                <w:color w:val="000000"/>
                <w:szCs w:val="24"/>
                <w:lang w:eastAsia="uk-UA"/>
              </w:rPr>
              <w:t xml:space="preserve">складає </w:t>
            </w:r>
            <w:r w:rsidR="00673050">
              <w:rPr>
                <w:rFonts w:ascii="Times New Roman" w:eastAsia="Times New Roman" w:hAnsi="Times New Roman" w:cs="Times New Roman"/>
                <w:b/>
                <w:color w:val="000000"/>
                <w:szCs w:val="24"/>
                <w:lang w:eastAsia="uk-UA"/>
              </w:rPr>
              <w:t>6</w:t>
            </w:r>
            <w:r w:rsidR="00BE1DD5">
              <w:rPr>
                <w:rFonts w:ascii="Times New Roman" w:eastAsia="Times New Roman" w:hAnsi="Times New Roman" w:cs="Times New Roman"/>
                <w:b/>
                <w:color w:val="000000"/>
                <w:szCs w:val="24"/>
                <w:lang w:eastAsia="uk-UA"/>
              </w:rPr>
              <w:t xml:space="preserve"> </w:t>
            </w:r>
            <w:r w:rsidR="00673050">
              <w:rPr>
                <w:rFonts w:ascii="Times New Roman" w:eastAsia="Times New Roman" w:hAnsi="Times New Roman" w:cs="Times New Roman"/>
                <w:b/>
                <w:color w:val="000000"/>
                <w:szCs w:val="24"/>
                <w:lang w:eastAsia="uk-UA"/>
              </w:rPr>
              <w:t>195</w:t>
            </w:r>
            <w:r w:rsidR="006C240A">
              <w:rPr>
                <w:rFonts w:ascii="Times New Roman" w:eastAsia="Times New Roman" w:hAnsi="Times New Roman" w:cs="Times New Roman"/>
                <w:b/>
                <w:color w:val="000000"/>
                <w:szCs w:val="24"/>
                <w:lang w:eastAsia="uk-UA"/>
              </w:rPr>
              <w:t xml:space="preserve"> 000</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54499D">
              <w:rPr>
                <w:rFonts w:ascii="Times New Roman" w:eastAsia="Times New Roman" w:hAnsi="Times New Roman" w:cs="Times New Roman"/>
                <w:b/>
                <w:color w:val="000000"/>
                <w:szCs w:val="24"/>
                <w:lang w:eastAsia="uk-UA"/>
              </w:rPr>
              <w:t>0</w:t>
            </w:r>
            <w:r w:rsidR="00D2108B">
              <w:rPr>
                <w:rFonts w:ascii="Times New Roman" w:eastAsia="Times New Roman" w:hAnsi="Times New Roman" w:cs="Times New Roman"/>
                <w:b/>
                <w:color w:val="000000"/>
                <w:szCs w:val="24"/>
                <w:lang w:eastAsia="uk-UA"/>
              </w:rPr>
              <w:t>0</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673050">
              <w:rPr>
                <w:rFonts w:ascii="Times New Roman" w:eastAsia="Times New Roman" w:hAnsi="Times New Roman" w:cs="Times New Roman"/>
                <w:color w:val="000000"/>
                <w:szCs w:val="24"/>
                <w:lang w:eastAsia="uk-UA"/>
              </w:rPr>
              <w:t>Шість мільйонів сто дев’яносто п’ять</w:t>
            </w:r>
            <w:r w:rsidR="00C17435">
              <w:rPr>
                <w:rFonts w:ascii="Times New Roman" w:eastAsia="Times New Roman" w:hAnsi="Times New Roman" w:cs="Times New Roman"/>
                <w:color w:val="000000"/>
                <w:szCs w:val="24"/>
                <w:lang w:eastAsia="uk-UA"/>
              </w:rPr>
              <w:t xml:space="preserve"> тисяч</w:t>
            </w:r>
            <w:r w:rsidR="00C22FA3">
              <w:rPr>
                <w:rFonts w:ascii="Times New Roman" w:eastAsia="Times New Roman" w:hAnsi="Times New Roman" w:cs="Times New Roman"/>
                <w:color w:val="000000"/>
                <w:szCs w:val="24"/>
                <w:lang w:eastAsia="uk-UA"/>
              </w:rPr>
              <w:t xml:space="preserve"> гривень</w:t>
            </w:r>
            <w:r w:rsidR="00A2448C" w:rsidRPr="00C059A8">
              <w:rPr>
                <w:rFonts w:ascii="Times New Roman" w:eastAsia="Times New Roman" w:hAnsi="Times New Roman" w:cs="Times New Roman"/>
                <w:color w:val="000000"/>
                <w:szCs w:val="24"/>
                <w:lang w:eastAsia="uk-UA"/>
              </w:rPr>
              <w:t xml:space="preserve"> </w:t>
            </w:r>
            <w:r w:rsidR="0054499D">
              <w:rPr>
                <w:rFonts w:ascii="Times New Roman" w:eastAsia="Times New Roman" w:hAnsi="Times New Roman" w:cs="Times New Roman"/>
                <w:color w:val="000000"/>
                <w:szCs w:val="24"/>
                <w:lang w:eastAsia="uk-UA"/>
              </w:rPr>
              <w:t>0</w:t>
            </w:r>
            <w:r w:rsidR="00C22FA3">
              <w:rPr>
                <w:rFonts w:ascii="Times New Roman" w:eastAsia="Times New Roman" w:hAnsi="Times New Roman" w:cs="Times New Roman"/>
                <w:color w:val="000000"/>
                <w:szCs w:val="24"/>
                <w:lang w:eastAsia="uk-UA"/>
              </w:rPr>
              <w:t>0</w:t>
            </w:r>
            <w:r w:rsidR="00944B42" w:rsidRPr="00C059A8">
              <w:rPr>
                <w:rFonts w:ascii="Times New Roman" w:eastAsia="Times New Roman" w:hAnsi="Times New Roman" w:cs="Times New Roman"/>
                <w:color w:val="000000"/>
                <w:szCs w:val="24"/>
                <w:lang w:eastAsia="uk-UA"/>
              </w:rPr>
              <w:t xml:space="preserve"> 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Розмір забезпечення тендерної пропозиції: </w:t>
            </w:r>
            <w:r w:rsidRPr="00817B15">
              <w:rPr>
                <w:rFonts w:ascii="Times New Roman" w:eastAsia="Times New Roman" w:hAnsi="Times New Roman" w:cs="Times New Roman"/>
                <w:color w:val="000000"/>
                <w:szCs w:val="24"/>
                <w:lang w:eastAsia="uk-UA"/>
              </w:rPr>
              <w:t>0,5% від очікуваної вартості про</w:t>
            </w:r>
            <w:r w:rsidR="00B2405F" w:rsidRPr="00817B15">
              <w:rPr>
                <w:rFonts w:ascii="Times New Roman" w:eastAsia="Times New Roman" w:hAnsi="Times New Roman" w:cs="Times New Roman"/>
                <w:color w:val="000000"/>
                <w:szCs w:val="24"/>
                <w:lang w:eastAsia="uk-UA"/>
              </w:rPr>
              <w:t xml:space="preserve">цедури закупівлі, а саме  </w:t>
            </w:r>
            <w:r w:rsidR="006C240A">
              <w:rPr>
                <w:rFonts w:ascii="Times New Roman" w:eastAsia="Times New Roman" w:hAnsi="Times New Roman" w:cs="Times New Roman"/>
                <w:color w:val="000000"/>
                <w:szCs w:val="24"/>
                <w:lang w:eastAsia="uk-UA"/>
              </w:rPr>
              <w:t xml:space="preserve">                </w:t>
            </w:r>
            <w:r w:rsidR="000963E6">
              <w:rPr>
                <w:rFonts w:ascii="Times New Roman" w:eastAsia="Times New Roman" w:hAnsi="Times New Roman" w:cs="Times New Roman"/>
                <w:szCs w:val="24"/>
                <w:lang w:eastAsia="uk-UA"/>
              </w:rPr>
              <w:t>30 975</w:t>
            </w:r>
            <w:r w:rsidR="00C22FA3">
              <w:rPr>
                <w:rFonts w:ascii="Times New Roman" w:eastAsia="Times New Roman" w:hAnsi="Times New Roman" w:cs="Times New Roman"/>
                <w:szCs w:val="24"/>
                <w:lang w:eastAsia="uk-UA"/>
              </w:rPr>
              <w:t>,00</w:t>
            </w:r>
            <w:r w:rsidRPr="00817B15">
              <w:rPr>
                <w:rFonts w:ascii="Times New Roman" w:eastAsia="Times New Roman" w:hAnsi="Times New Roman" w:cs="Times New Roman"/>
                <w:szCs w:val="24"/>
                <w:lang w:eastAsia="uk-UA"/>
              </w:rPr>
              <w:t xml:space="preserve"> </w:t>
            </w:r>
            <w:r w:rsidRPr="00817B15">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w:t>
            </w:r>
            <w:r w:rsidR="00C22FA3">
              <w:rPr>
                <w:rFonts w:ascii="Times New Roman" w:eastAsia="Times New Roman" w:hAnsi="Times New Roman" w:cs="Times New Roman"/>
                <w:i/>
                <w:iCs/>
                <w:color w:val="000000"/>
                <w:szCs w:val="24"/>
                <w:lang w:eastAsia="uk-UA"/>
              </w:rPr>
              <w:t xml:space="preserve"> </w:t>
            </w:r>
            <w:r w:rsidRPr="007B4B4F">
              <w:rPr>
                <w:rFonts w:ascii="Times New Roman" w:eastAsia="Times New Roman" w:hAnsi="Times New Roman" w:cs="Times New Roman"/>
                <w:i/>
                <w:iCs/>
                <w:color w:val="000000"/>
                <w:szCs w:val="24"/>
                <w:lang w:eastAsia="uk-UA"/>
              </w:rPr>
              <w:t>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w:t>
            </w:r>
            <w:r w:rsidR="00C22FA3">
              <w:rPr>
                <w:rFonts w:ascii="Times New Roman" w:eastAsia="Times New Roman" w:hAnsi="Times New Roman" w:cs="Times New Roman"/>
                <w:i/>
                <w:iCs/>
                <w:color w:val="000000"/>
                <w:szCs w:val="24"/>
                <w:lang w:eastAsia="uk-UA"/>
              </w:rPr>
              <w:t xml:space="preserve"> </w:t>
            </w:r>
            <w:r w:rsidRPr="007B4B4F">
              <w:rPr>
                <w:rFonts w:ascii="Times New Roman" w:eastAsia="Times New Roman" w:hAnsi="Times New Roman" w:cs="Times New Roman"/>
                <w:i/>
                <w:iCs/>
                <w:color w:val="000000"/>
                <w:szCs w:val="24"/>
                <w:lang w:eastAsia="uk-UA"/>
              </w:rPr>
              <w:t>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817B15" w:rsidRDefault="00007D55" w:rsidP="00007D55">
            <w:pPr>
              <w:pStyle w:val="rvps2"/>
              <w:spacing w:before="0" w:beforeAutospacing="0" w:after="0" w:afterAutospacing="0"/>
              <w:ind w:firstLine="452"/>
              <w:jc w:val="both"/>
            </w:pPr>
            <w:r w:rsidRPr="00817B15">
              <w:t xml:space="preserve">Документальне підтвердження відповідності робіт тендерній документації надається у вигляді </w:t>
            </w:r>
            <w:r w:rsidRPr="00817B15">
              <w:rPr>
                <w:b/>
              </w:rPr>
              <w:t xml:space="preserve">сканованої копії інформаційної довідки </w:t>
            </w:r>
            <w:r w:rsidRPr="00817B15">
              <w:rPr>
                <w:b/>
                <w:shd w:val="clear" w:color="auto" w:fill="FFFFFF"/>
              </w:rPr>
              <w:t>стосовно можливості виконання робіт у відповідності до вимог тендерної документації</w:t>
            </w:r>
            <w:r w:rsidRPr="00817B15">
              <w:t xml:space="preserve">, в якій також обов’язково зазначається інформація про особу, яку уповноважено на підписання договору. </w:t>
            </w:r>
          </w:p>
          <w:p w:rsidR="00007D55" w:rsidRPr="00817B15" w:rsidRDefault="00007D55" w:rsidP="00007D55">
            <w:pPr>
              <w:pStyle w:val="ad"/>
              <w:spacing w:after="0"/>
              <w:ind w:firstLine="379"/>
              <w:rPr>
                <w:rFonts w:ascii="Times New Roman" w:hAnsi="Times New Roman"/>
                <w:sz w:val="24"/>
                <w:szCs w:val="24"/>
                <w:lang w:val="uk-UA"/>
              </w:rPr>
            </w:pPr>
            <w:r w:rsidRPr="00817B15">
              <w:rPr>
                <w:rFonts w:ascii="Times New Roman" w:hAnsi="Times New Roman"/>
                <w:sz w:val="24"/>
                <w:szCs w:val="24"/>
                <w:lang w:val="uk-UA"/>
              </w:rPr>
              <w:t>Додатками до цієї довідки є:</w:t>
            </w:r>
          </w:p>
          <w:p w:rsidR="00007D55" w:rsidRPr="00817B15" w:rsidRDefault="00007D55" w:rsidP="00007D55">
            <w:pPr>
              <w:pStyle w:val="ad"/>
              <w:spacing w:after="0"/>
              <w:ind w:firstLine="379"/>
              <w:rPr>
                <w:rFonts w:ascii="Times New Roman" w:hAnsi="Times New Roman"/>
                <w:sz w:val="24"/>
                <w:szCs w:val="24"/>
                <w:lang w:val="uk-UA"/>
              </w:rPr>
            </w:pPr>
            <w:r w:rsidRPr="00817B15">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817B15">
              <w:rPr>
                <w:rFonts w:ascii="Times New Roman" w:hAnsi="Times New Roman"/>
                <w:b/>
                <w:sz w:val="24"/>
                <w:szCs w:val="24"/>
                <w:lang w:val="uk-UA"/>
              </w:rPr>
              <w:t>Додатку 9</w:t>
            </w:r>
            <w:r w:rsidRPr="00817B15">
              <w:rPr>
                <w:rFonts w:ascii="Times New Roman" w:hAnsi="Times New Roman"/>
                <w:sz w:val="24"/>
                <w:szCs w:val="24"/>
                <w:lang w:val="uk-UA"/>
              </w:rPr>
              <w:t xml:space="preserve"> до цієї тендерної документації;</w:t>
            </w:r>
          </w:p>
          <w:p w:rsidR="00007D55" w:rsidRPr="00817B15" w:rsidRDefault="00007D55" w:rsidP="00007D55">
            <w:pPr>
              <w:autoSpaceDE w:val="0"/>
              <w:autoSpaceDN w:val="0"/>
              <w:adjustRightInd w:val="0"/>
              <w:spacing w:after="0" w:line="240" w:lineRule="auto"/>
              <w:ind w:firstLine="379"/>
              <w:jc w:val="both"/>
              <w:rPr>
                <w:rFonts w:ascii="Times New Roman" w:hAnsi="Times New Roman"/>
                <w:szCs w:val="24"/>
              </w:rPr>
            </w:pPr>
            <w:r w:rsidRPr="00817B15">
              <w:rPr>
                <w:rFonts w:ascii="Times New Roman" w:hAnsi="Times New Roman"/>
                <w:szCs w:val="24"/>
                <w:lang w:eastAsia="uk-UA"/>
              </w:rPr>
              <w:t>- копія «ГАРАНТІЙНОГО ЛИСТА» (</w:t>
            </w:r>
            <w:r w:rsidRPr="00817B15">
              <w:rPr>
                <w:rFonts w:ascii="Times New Roman" w:hAnsi="Times New Roman"/>
                <w:b/>
                <w:szCs w:val="24"/>
              </w:rPr>
              <w:t>Додатку 8</w:t>
            </w:r>
            <w:r w:rsidRPr="00817B15">
              <w:rPr>
                <w:rFonts w:ascii="Times New Roman" w:hAnsi="Times New Roman"/>
                <w:szCs w:val="24"/>
              </w:rPr>
              <w:t xml:space="preserve"> до цієї тендерної документації).</w:t>
            </w:r>
          </w:p>
          <w:p w:rsidR="00007D55" w:rsidRPr="00817B15" w:rsidRDefault="00007D55" w:rsidP="00007D55">
            <w:pPr>
              <w:spacing w:after="0" w:line="240" w:lineRule="auto"/>
              <w:jc w:val="both"/>
              <w:rPr>
                <w:rFonts w:ascii="Times New Roman" w:eastAsia="Calibri" w:hAnsi="Times New Roman"/>
                <w:szCs w:val="24"/>
              </w:rPr>
            </w:pPr>
            <w:r w:rsidRPr="00817B15">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817B15" w:rsidRDefault="00007D55" w:rsidP="00007D55">
            <w:pPr>
              <w:numPr>
                <w:ilvl w:val="0"/>
                <w:numId w:val="19"/>
              </w:numPr>
              <w:spacing w:after="0" w:line="240" w:lineRule="auto"/>
              <w:contextualSpacing/>
              <w:jc w:val="both"/>
              <w:rPr>
                <w:rFonts w:ascii="Times New Roman" w:eastAsia="Calibri" w:hAnsi="Times New Roman"/>
                <w:szCs w:val="24"/>
              </w:rPr>
            </w:pPr>
            <w:r w:rsidRPr="00817B15">
              <w:rPr>
                <w:rFonts w:ascii="Times New Roman" w:eastAsia="Calibri" w:hAnsi="Times New Roman"/>
                <w:szCs w:val="24"/>
              </w:rPr>
              <w:t xml:space="preserve">для проектування </w:t>
            </w:r>
            <w:r w:rsidR="005C77B3" w:rsidRPr="00817B15">
              <w:rPr>
                <w:rFonts w:ascii="Times New Roman" w:eastAsia="Calibri" w:hAnsi="Times New Roman"/>
                <w:szCs w:val="24"/>
              </w:rPr>
              <w:t xml:space="preserve">та креслення з можливостю формування файлів у форматі </w:t>
            </w:r>
            <w:r w:rsidR="005C77B3" w:rsidRPr="00817B15">
              <w:rPr>
                <w:rFonts w:ascii="Times New Roman" w:eastAsia="Calibri" w:hAnsi="Times New Roman"/>
                <w:szCs w:val="24"/>
                <w:lang w:val="en-US"/>
              </w:rPr>
              <w:t>DWG</w:t>
            </w:r>
            <w:r w:rsidR="005C77B3" w:rsidRPr="00817B15">
              <w:rPr>
                <w:rFonts w:ascii="Times New Roman" w:eastAsia="Calibri" w:hAnsi="Times New Roman"/>
                <w:szCs w:val="24"/>
                <w:lang w:val="ru-RU"/>
              </w:rPr>
              <w:t xml:space="preserve"> </w:t>
            </w:r>
            <w:r w:rsidRPr="00817B15">
              <w:rPr>
                <w:rFonts w:ascii="Times New Roman" w:eastAsia="Calibri" w:hAnsi="Times New Roman"/>
                <w:szCs w:val="24"/>
              </w:rPr>
              <w:t>(</w:t>
            </w:r>
            <w:r w:rsidRPr="00817B15">
              <w:rPr>
                <w:rFonts w:ascii="Times New Roman" w:hAnsi="Times New Roman"/>
                <w:szCs w:val="24"/>
                <w:shd w:val="clear" w:color="auto" w:fill="FFFFFF"/>
              </w:rPr>
              <w:t>AutoCAD</w:t>
            </w:r>
            <w:r w:rsidRPr="00817B15">
              <w:rPr>
                <w:rFonts w:ascii="Times New Roman" w:eastAsia="Calibri" w:hAnsi="Times New Roman"/>
                <w:szCs w:val="24"/>
                <w:lang w:val="ru-RU"/>
              </w:rPr>
              <w:t xml:space="preserve"> </w:t>
            </w:r>
            <w:r w:rsidRPr="00817B15">
              <w:rPr>
                <w:rFonts w:ascii="Times New Roman" w:eastAsia="Calibri" w:hAnsi="Times New Roman"/>
                <w:szCs w:val="24"/>
              </w:rPr>
              <w:t>або аналог);</w:t>
            </w:r>
          </w:p>
          <w:p w:rsidR="00007D55" w:rsidRPr="00817B15" w:rsidRDefault="00007D55" w:rsidP="00007D55">
            <w:pPr>
              <w:numPr>
                <w:ilvl w:val="0"/>
                <w:numId w:val="19"/>
              </w:numPr>
              <w:spacing w:after="0" w:line="240" w:lineRule="auto"/>
              <w:contextualSpacing/>
              <w:jc w:val="both"/>
              <w:rPr>
                <w:rFonts w:ascii="Times New Roman" w:eastAsia="Calibri" w:hAnsi="Times New Roman"/>
                <w:szCs w:val="24"/>
              </w:rPr>
            </w:pPr>
            <w:r w:rsidRPr="00817B15">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7B4B4F"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7B4B4F">
              <w:rPr>
                <w:rFonts w:ascii="Times New Roman" w:eastAsia="Calibri" w:hAnsi="Times New Roman"/>
                <w:szCs w:val="24"/>
              </w:rPr>
              <w:t>Довідка повинна містити інформацію про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Невід’ємною частиною договору, який буде укладений за результатами відкритих торгів, є договірна ціна.</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b/>
                <w:bCs/>
                <w:color w:val="222222"/>
                <w:szCs w:val="24"/>
                <w:lang w:val="ru-RU" w:eastAsia="ru-RU"/>
              </w:rPr>
              <w:t xml:space="preserve">        </w:t>
            </w:r>
            <w:r w:rsidRPr="009260BE">
              <w:rPr>
                <w:rFonts w:ascii="Times New Roman" w:eastAsia="Times New Roman" w:hAnsi="Times New Roman" w:cs="Times New Roman"/>
                <w:b/>
                <w:bCs/>
                <w:color w:val="222222"/>
                <w:szCs w:val="24"/>
                <w:lang w:val="ru-RU" w:eastAsia="ru-RU"/>
              </w:rPr>
              <w:t>Договірна ціна - це ціна Переможця процедури закупівлі (Договірна ціна </w:t>
            </w:r>
            <w:r w:rsidRPr="009260BE">
              <w:rPr>
                <w:rFonts w:ascii="Times New Roman" w:eastAsia="Times New Roman" w:hAnsi="Times New Roman" w:cs="Times New Roman"/>
                <w:b/>
                <w:bCs/>
                <w:color w:val="000000"/>
                <w:szCs w:val="24"/>
                <w:lang w:val="ru-RU" w:eastAsia="ru-RU"/>
              </w:rPr>
              <w:t>повинна бути розрахована Учасником на об’єми завдання і змін та доповнень до завдання)</w:t>
            </w:r>
            <w:r w:rsidRPr="009260BE">
              <w:rPr>
                <w:rFonts w:ascii="Times New Roman" w:eastAsia="Times New Roman" w:hAnsi="Times New Roman" w:cs="Times New Roman"/>
                <w:b/>
                <w:bCs/>
                <w:color w:val="222222"/>
                <w:szCs w:val="24"/>
                <w:lang w:val="ru-RU" w:eastAsia="ru-RU"/>
              </w:rPr>
              <w:t>.</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b/>
                <w:bCs/>
                <w:color w:val="222222"/>
                <w:szCs w:val="24"/>
                <w:lang w:val="ru-RU" w:eastAsia="ru-RU"/>
              </w:rPr>
              <w:t xml:space="preserve">        </w:t>
            </w:r>
            <w:r w:rsidRPr="009260BE">
              <w:rPr>
                <w:rFonts w:ascii="Times New Roman" w:eastAsia="Times New Roman" w:hAnsi="Times New Roman" w:cs="Times New Roman"/>
                <w:b/>
                <w:bCs/>
                <w:color w:val="222222"/>
                <w:szCs w:val="24"/>
                <w:lang w:val="ru-RU" w:eastAsia="ru-RU"/>
              </w:rPr>
              <w:t>Вимоги щодо формування договірної ціни</w:t>
            </w:r>
            <w:r w:rsidRPr="009260BE">
              <w:rPr>
                <w:rFonts w:ascii="Times New Roman" w:eastAsia="Times New Roman" w:hAnsi="Times New Roman" w:cs="Times New Roman"/>
                <w:color w:val="222222"/>
                <w:szCs w:val="24"/>
                <w:lang w:val="ru-RU" w:eastAsia="ru-RU"/>
              </w:rPr>
              <w:t>.</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Договірна ціна встановлюється за приблизним кошторисом (динамічна договірна ціна).</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sidRPr="009260BE">
              <w:rPr>
                <w:rFonts w:ascii="Times New Roman" w:eastAsia="Times New Roman" w:hAnsi="Times New Roman" w:cs="Times New Roman"/>
                <w:color w:val="222222"/>
                <w:szCs w:val="24"/>
                <w:lang w:val="ru-RU" w:eastAsia="ru-RU"/>
              </w:rPr>
              <w:t>До кошторису не включаються витрати, пов'язані з укладенням договору.</w:t>
            </w:r>
          </w:p>
          <w:p w:rsidR="009260BE" w:rsidRPr="000137BF" w:rsidRDefault="009260BE" w:rsidP="009260BE">
            <w:pPr>
              <w:shd w:val="clear" w:color="auto" w:fill="FFFFFF"/>
              <w:spacing w:after="0" w:line="240" w:lineRule="auto"/>
              <w:jc w:val="both"/>
              <w:rPr>
                <w:rFonts w:ascii="Times New Roman" w:eastAsia="Times New Roman" w:hAnsi="Times New Roman" w:cs="Times New Roman"/>
                <w:b/>
                <w:i/>
                <w:color w:val="222222"/>
                <w:szCs w:val="24"/>
                <w:lang w:val="ru-RU" w:eastAsia="ru-RU"/>
              </w:rPr>
            </w:pPr>
            <w:r>
              <w:rPr>
                <w:rFonts w:ascii="Times New Roman" w:eastAsia="Times New Roman" w:hAnsi="Times New Roman" w:cs="Times New Roman"/>
                <w:color w:val="222222"/>
                <w:szCs w:val="24"/>
                <w:lang w:val="ru-RU" w:eastAsia="ru-RU"/>
              </w:rPr>
              <w:t xml:space="preserve">       </w:t>
            </w:r>
            <w:r w:rsidRPr="000137BF">
              <w:rPr>
                <w:rFonts w:ascii="Times New Roman" w:eastAsia="Times New Roman" w:hAnsi="Times New Roman" w:cs="Times New Roman"/>
                <w:b/>
                <w:i/>
                <w:color w:val="222222"/>
                <w:szCs w:val="24"/>
                <w:lang w:val="ru-RU" w:eastAsia="ru-RU"/>
              </w:rPr>
              <w:t>Документи, що стосуються укладання та погодження договірної ціни</w:t>
            </w:r>
            <w:r w:rsidR="000137BF" w:rsidRPr="000137BF">
              <w:rPr>
                <w:rFonts w:ascii="Times New Roman" w:eastAsia="Times New Roman" w:hAnsi="Times New Roman" w:cs="Times New Roman"/>
                <w:b/>
                <w:i/>
                <w:color w:val="222222"/>
                <w:szCs w:val="24"/>
                <w:lang w:val="ru-RU" w:eastAsia="ru-RU"/>
              </w:rPr>
              <w:t>,</w:t>
            </w:r>
            <w:r w:rsidRPr="000137BF">
              <w:rPr>
                <w:rFonts w:ascii="Times New Roman" w:eastAsia="Times New Roman" w:hAnsi="Times New Roman" w:cs="Times New Roman"/>
                <w:b/>
                <w:i/>
                <w:color w:val="222222"/>
                <w:szCs w:val="24"/>
                <w:lang w:val="ru-RU" w:eastAsia="ru-RU"/>
              </w:rPr>
              <w:t xml:space="preserve"> Переможець розміщує в електронному вигляді через електронну систему закупівель до укладання договору.</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Договірна ціна має бути складена у програмному комплексі, який має рекомендації Мінрегіонбуду до застосування.</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sidRPr="009260BE">
              <w:rPr>
                <w:rFonts w:ascii="Times New Roman" w:eastAsia="Times New Roman" w:hAnsi="Times New Roman" w:cs="Times New Roman"/>
                <w:color w:val="222222"/>
                <w:szCs w:val="24"/>
                <w:lang w:val="ru-RU" w:eastAsia="ru-RU"/>
              </w:rPr>
              <w:t> </w:t>
            </w: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Учасник повинен розцінити всі позиції переліку завдання і змін та доповнень до завдання (Додаток № 3 цієї тендерної документації).</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sidRPr="009260BE">
              <w:rPr>
                <w:rFonts w:ascii="Times New Roman" w:eastAsia="Times New Roman" w:hAnsi="Times New Roman" w:cs="Times New Roman"/>
                <w:i/>
                <w:iCs/>
                <w:color w:val="222222"/>
                <w:szCs w:val="24"/>
                <w:lang w:val="ru-RU" w:eastAsia="ru-RU"/>
              </w:rPr>
              <w:t>  </w:t>
            </w:r>
            <w:r>
              <w:rPr>
                <w:rFonts w:ascii="Times New Roman" w:eastAsia="Times New Roman" w:hAnsi="Times New Roman" w:cs="Times New Roman"/>
                <w:i/>
                <w:iCs/>
                <w:color w:val="222222"/>
                <w:szCs w:val="24"/>
                <w:lang w:val="ru-RU" w:eastAsia="ru-RU"/>
              </w:rPr>
              <w:t xml:space="preserve">      </w:t>
            </w:r>
            <w:r w:rsidRPr="009260BE">
              <w:rPr>
                <w:rFonts w:ascii="Times New Roman" w:eastAsia="Times New Roman" w:hAnsi="Times New Roman" w:cs="Times New Roman"/>
                <w:i/>
                <w:iCs/>
                <w:color w:val="222222"/>
                <w:szCs w:val="24"/>
                <w:lang w:val="ru-RU" w:eastAsia="ru-RU"/>
              </w:rPr>
              <w:t>Учасник визначає ціну тендерної пропозиції (договірну ціну</w:t>
            </w:r>
            <w:r w:rsidRPr="009260BE">
              <w:rPr>
                <w:rFonts w:ascii="Times New Roman" w:eastAsia="Times New Roman" w:hAnsi="Times New Roman" w:cs="Times New Roman"/>
                <w:color w:val="222222"/>
                <w:szCs w:val="24"/>
                <w:lang w:val="ru-RU" w:eastAsia="ru-RU"/>
              </w:rPr>
              <w:t>) як динамічну, згідно з нормами і правилами чинного законодавства.</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Ціна тендерної пропозиції вказується з ПДВ (стосується Учасників, які є платниками ПДВ).</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sidRPr="009260BE">
              <w:rPr>
                <w:rFonts w:ascii="Times New Roman" w:eastAsia="Times New Roman" w:hAnsi="Times New Roman" w:cs="Times New Roman"/>
                <w:color w:val="222222"/>
                <w:szCs w:val="24"/>
                <w:lang w:val="ru-RU" w:eastAsia="ru-RU"/>
              </w:rPr>
              <w:t> </w:t>
            </w: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Учасники подають свої пропозиції з урахуванням робіт та послуг, які Учасник планує передати до виконання субпідрядним організаціям.</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b/>
                <w:bCs/>
                <w:i/>
                <w:iCs/>
                <w:color w:val="222222"/>
                <w:szCs w:val="24"/>
                <w:lang w:val="ru-RU" w:eastAsia="ru-RU"/>
              </w:rPr>
              <w:t xml:space="preserve">           </w:t>
            </w:r>
            <w:r w:rsidRPr="009260BE">
              <w:rPr>
                <w:rFonts w:ascii="Times New Roman" w:eastAsia="Times New Roman" w:hAnsi="Times New Roman" w:cs="Times New Roman"/>
                <w:b/>
                <w:bCs/>
                <w:i/>
                <w:iCs/>
                <w:color w:val="222222"/>
                <w:szCs w:val="24"/>
                <w:lang w:val="ru-RU" w:eastAsia="ru-RU"/>
              </w:rPr>
              <w:t>Переможець надає договірну ціну та додатки до неї відповідно до </w:t>
            </w:r>
            <w:r w:rsidRPr="009260BE">
              <w:rPr>
                <w:rFonts w:ascii="Times New Roman" w:eastAsia="Times New Roman" w:hAnsi="Times New Roman" w:cs="Times New Roman"/>
                <w:b/>
                <w:bCs/>
                <w:color w:val="222222"/>
                <w:szCs w:val="24"/>
                <w:lang w:val="ru-RU" w:eastAsia="ru-RU"/>
              </w:rPr>
              <w:t>КНУ</w:t>
            </w:r>
            <w:r w:rsidRPr="009260BE">
              <w:rPr>
                <w:rFonts w:ascii="Times New Roman" w:eastAsia="Times New Roman" w:hAnsi="Times New Roman" w:cs="Times New Roman"/>
                <w:b/>
                <w:bCs/>
                <w:i/>
                <w:iCs/>
                <w:color w:val="222222"/>
                <w:szCs w:val="24"/>
                <w:lang w:val="ru-RU" w:eastAsia="ru-RU"/>
              </w:rPr>
              <w:t> </w:t>
            </w:r>
            <w:r w:rsidRPr="009260BE">
              <w:rPr>
                <w:rFonts w:ascii="Times New Roman" w:eastAsia="Times New Roman" w:hAnsi="Times New Roman" w:cs="Times New Roman"/>
                <w:color w:val="222222"/>
                <w:szCs w:val="24"/>
                <w:lang w:val="ru-RU" w:eastAsia="ru-RU"/>
              </w:rPr>
              <w:t>«Настанова з визначення вартості проектних, науково-проектних, вишукувальних робіт та експертизи проектної документації на будівництво»</w:t>
            </w:r>
            <w:r w:rsidRPr="009260BE">
              <w:rPr>
                <w:rFonts w:ascii="Times New Roman" w:eastAsia="Times New Roman" w:hAnsi="Times New Roman" w:cs="Times New Roman"/>
                <w:b/>
                <w:bCs/>
                <w:i/>
                <w:iCs/>
                <w:color w:val="222222"/>
                <w:szCs w:val="24"/>
                <w:lang w:val="ru-RU" w:eastAsia="ru-RU"/>
              </w:rPr>
              <w:t>.</w:t>
            </w:r>
          </w:p>
          <w:p w:rsidR="009260BE" w:rsidRPr="009260BE" w:rsidRDefault="009260BE" w:rsidP="009260BE">
            <w:pPr>
              <w:shd w:val="clear" w:color="auto" w:fill="FFFFFF"/>
              <w:spacing w:after="0" w:line="240" w:lineRule="auto"/>
              <w:jc w:val="both"/>
              <w:rPr>
                <w:rFonts w:ascii="Times New Roman" w:eastAsia="Times New Roman" w:hAnsi="Times New Roman" w:cs="Times New Roman"/>
                <w:bCs/>
                <w:iCs/>
                <w:color w:val="222222"/>
                <w:szCs w:val="24"/>
                <w:lang w:val="ru-RU" w:eastAsia="ru-RU"/>
              </w:rPr>
            </w:pPr>
            <w:r w:rsidRPr="009260BE">
              <w:rPr>
                <w:rFonts w:ascii="Times New Roman" w:eastAsia="Times New Roman" w:hAnsi="Times New Roman" w:cs="Times New Roman"/>
                <w:bCs/>
                <w:iCs/>
                <w:color w:val="222222"/>
                <w:szCs w:val="24"/>
                <w:lang w:val="ru-RU" w:eastAsia="ru-RU"/>
              </w:rPr>
              <w:t>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w:t>
            </w:r>
          </w:p>
          <w:p w:rsidR="0048002C" w:rsidRPr="000137BF" w:rsidRDefault="009260BE" w:rsidP="009260BE">
            <w:pPr>
              <w:shd w:val="clear" w:color="auto" w:fill="FFFFFF"/>
              <w:spacing w:after="0" w:line="240" w:lineRule="auto"/>
              <w:jc w:val="both"/>
              <w:rPr>
                <w:b/>
              </w:rPr>
            </w:pPr>
            <w:r>
              <w:rPr>
                <w:rFonts w:ascii="Times New Roman" w:eastAsia="Times New Roman" w:hAnsi="Times New Roman" w:cs="Times New Roman"/>
                <w:bCs/>
                <w:iCs/>
                <w:color w:val="222222"/>
                <w:szCs w:val="24"/>
                <w:lang w:val="ru-RU" w:eastAsia="ru-RU"/>
              </w:rPr>
              <w:t xml:space="preserve">          </w:t>
            </w:r>
            <w:r w:rsidRPr="000137BF">
              <w:rPr>
                <w:rFonts w:ascii="Times New Roman" w:eastAsia="Times New Roman" w:hAnsi="Times New Roman" w:cs="Times New Roman"/>
                <w:b/>
                <w:bCs/>
                <w:iCs/>
                <w:color w:val="222222"/>
                <w:szCs w:val="24"/>
                <w:lang w:val="ru-RU" w:eastAsia="ru-RU"/>
              </w:rPr>
              <w:t>Договірна ціна повинна бути узгоджена</w:t>
            </w:r>
            <w:r w:rsidR="000137BF">
              <w:rPr>
                <w:rFonts w:ascii="Times New Roman" w:eastAsia="Times New Roman" w:hAnsi="Times New Roman" w:cs="Times New Roman"/>
                <w:b/>
                <w:bCs/>
                <w:iCs/>
                <w:color w:val="222222"/>
                <w:szCs w:val="24"/>
                <w:lang w:val="ru-RU" w:eastAsia="ru-RU"/>
              </w:rPr>
              <w:t xml:space="preserve"> з Замовником</w:t>
            </w:r>
            <w:r w:rsidRPr="000137BF">
              <w:rPr>
                <w:rFonts w:ascii="Times New Roman" w:eastAsia="Times New Roman" w:hAnsi="Times New Roman" w:cs="Times New Roman"/>
                <w:b/>
                <w:bCs/>
                <w:iCs/>
                <w:color w:val="222222"/>
                <w:szCs w:val="24"/>
                <w:lang w:val="ru-RU" w:eastAsia="ru-RU"/>
              </w:rPr>
              <w:t xml:space="preserve"> не пізніше ніж через п’ятнадцять днів з дня прийняття рішення про намір укласти договір про закупівлю.</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України «Про архітектурну діяльність»;</w:t>
            </w:r>
          </w:p>
          <w:p w:rsidR="000137BF" w:rsidRDefault="000137BF"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Pr="00907A1D">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документації) за спеціалізаціями:</w:t>
            </w:r>
          </w:p>
          <w:p w:rsidR="009260BE" w:rsidRPr="009260BE" w:rsidRDefault="00817B15"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0137BF">
              <w:rPr>
                <w:rFonts w:ascii="Times New Roman" w:eastAsia="Times New Roman" w:hAnsi="Times New Roman" w:cs="Times New Roman"/>
                <w:color w:val="222222"/>
                <w:szCs w:val="24"/>
                <w:lang w:eastAsia="ru-RU"/>
              </w:rPr>
              <w:t xml:space="preserve"> </w:t>
            </w:r>
            <w:r w:rsidR="009260BE" w:rsidRPr="009260BE">
              <w:rPr>
                <w:rFonts w:ascii="Times New Roman" w:hAnsi="Times New Roman" w:cs="Times New Roman"/>
                <w:color w:val="222222"/>
              </w:rPr>
              <w:t xml:space="preserve">провідний інженер-проектувальник - інженерно-будівельне проектування в </w:t>
            </w:r>
            <w:r w:rsidR="009260BE">
              <w:rPr>
                <w:rFonts w:ascii="Times New Roman" w:hAnsi="Times New Roman" w:cs="Times New Roman"/>
                <w:color w:val="222222"/>
              </w:rPr>
              <w:t>частині виконання інженерних виш</w:t>
            </w:r>
            <w:r w:rsidR="009260BE" w:rsidRPr="009260BE">
              <w:rPr>
                <w:rFonts w:ascii="Times New Roman" w:hAnsi="Times New Roman" w:cs="Times New Roman"/>
                <w:color w:val="222222"/>
              </w:rPr>
              <w:t>укувань – не менше 1 особи;</w:t>
            </w:r>
          </w:p>
          <w:p w:rsidR="009260BE" w:rsidRPr="009260BE" w:rsidRDefault="009260BE"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провідний інженер-проектувальник - інженерно-будівельне проектування в частині забезпечення механічного опору та стійкості – не менше 1 особи;</w:t>
            </w:r>
          </w:p>
          <w:p w:rsidR="009260BE" w:rsidRPr="009260BE" w:rsidRDefault="009260BE"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провідний 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9260BE" w:rsidRPr="009260BE" w:rsidRDefault="009260BE"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провідний інженер-проектувальник - інженерно-будівельне проектування в частині забезпечення захисту шуму – не менше 1 особи;</w:t>
            </w:r>
          </w:p>
          <w:p w:rsidR="009260BE" w:rsidRPr="009260BE" w:rsidRDefault="009260BE"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провідний інженер-проектувальник - інженерно-будівельне проектування в частині технології будівельного виробництва– не менше 1 особи;</w:t>
            </w:r>
          </w:p>
          <w:p w:rsidR="00AC5D53" w:rsidRPr="000137BF" w:rsidRDefault="009260BE" w:rsidP="000137BF">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інженер-проектувальник - інженерно-будівельне проектування в частині кошторисної документації– не менше 1 особи.</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B56FC1">
              <w:rPr>
                <w:rFonts w:ascii="Times New Roman" w:hAnsi="Times New Roman"/>
                <w:iCs/>
                <w:szCs w:val="24"/>
              </w:rPr>
              <w:t>На підтвердження інформації щодо наявності у Учасника працівників (з постійним місцевлаштуванням), яка міститься в довідці, йому необхідно, у складі пропозиції, надати</w:t>
            </w:r>
            <w:r>
              <w:rPr>
                <w:rFonts w:ascii="Times New Roman" w:hAnsi="Times New Roman"/>
                <w:iCs/>
                <w:szCs w:val="24"/>
              </w:rPr>
              <w:t>:</w:t>
            </w:r>
            <w:r w:rsidRPr="00B56FC1">
              <w:rPr>
                <w:rFonts w:ascii="Times New Roman" w:hAnsi="Times New Roman"/>
                <w:iCs/>
                <w:szCs w:val="24"/>
              </w:rPr>
              <w:t xml:space="preserve"> </w:t>
            </w:r>
            <w:r w:rsidR="001C52EC">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Pr>
                <w:rFonts w:ascii="Times New Roman" w:eastAsia="Times New Roman" w:hAnsi="Times New Roman" w:cs="Times New Roman"/>
                <w:color w:val="000000"/>
                <w:szCs w:val="24"/>
                <w:lang w:eastAsia="uk-UA"/>
              </w:rPr>
              <w:t xml:space="preserve">івниками, зазначеними у </w:t>
            </w:r>
            <w:r w:rsidR="00FE1CB9">
              <w:rPr>
                <w:rFonts w:ascii="Times New Roman" w:eastAsia="Times New Roman" w:hAnsi="Times New Roman" w:cs="Times New Roman"/>
                <w:color w:val="000000"/>
                <w:szCs w:val="24"/>
                <w:lang w:eastAsia="uk-UA"/>
              </w:rPr>
              <w:t>Довідці 1.3</w:t>
            </w:r>
            <w:r w:rsidR="001C52EC">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Pr>
                <w:rFonts w:ascii="Times New Roman" w:eastAsia="Times New Roman" w:hAnsi="Times New Roman" w:cs="Times New Roman"/>
                <w:color w:val="000000"/>
                <w:szCs w:val="24"/>
                <w:lang w:eastAsia="uk-UA"/>
              </w:rPr>
              <w:t>.</w:t>
            </w:r>
          </w:p>
          <w:p w:rsidR="00A2448C" w:rsidRPr="00E81B57" w:rsidRDefault="00913830"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w:t>
            </w:r>
            <w:r w:rsidR="00A2448C" w:rsidRPr="00E81B57">
              <w:rPr>
                <w:rFonts w:ascii="Times New Roman" w:hAnsi="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E81B57" w:rsidRDefault="00A2448C"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A2448C" w:rsidRPr="00B56FC1" w:rsidRDefault="00A2448C" w:rsidP="000137BF">
            <w:pPr>
              <w:tabs>
                <w:tab w:val="left" w:pos="1080"/>
              </w:tabs>
              <w:spacing w:after="0" w:line="240" w:lineRule="auto"/>
              <w:ind w:right="23" w:firstLine="432"/>
              <w:jc w:val="both"/>
              <w:rPr>
                <w:rFonts w:ascii="Times New Roman" w:hAnsi="Times New Roman"/>
                <w:szCs w:val="24"/>
              </w:rPr>
            </w:pPr>
            <w:r w:rsidRPr="008021F6">
              <w:rPr>
                <w:rFonts w:ascii="Times New Roman" w:hAnsi="Times New Roman"/>
                <w:szCs w:val="24"/>
              </w:rPr>
              <w:t xml:space="preserve"> </w:t>
            </w:r>
            <w:r w:rsidRPr="000137BF">
              <w:rPr>
                <w:rFonts w:ascii="Times New Roman" w:hAnsi="Times New Roman"/>
                <w:szCs w:val="24"/>
              </w:rPr>
              <w:t>Учасник подає копії кваліфікаційних</w:t>
            </w:r>
            <w:r w:rsidR="00675734" w:rsidRPr="000137BF">
              <w:rPr>
                <w:rFonts w:ascii="Times New Roman" w:hAnsi="Times New Roman"/>
                <w:szCs w:val="24"/>
              </w:rPr>
              <w:t xml:space="preserve"> </w:t>
            </w:r>
            <w:r w:rsidR="009516B1" w:rsidRPr="000137BF">
              <w:rPr>
                <w:rFonts w:ascii="Times New Roman" w:hAnsi="Times New Roman"/>
                <w:szCs w:val="24"/>
              </w:rPr>
              <w:t>сертифікатів СС</w:t>
            </w:r>
            <w:r w:rsidR="000137BF" w:rsidRPr="000137BF">
              <w:rPr>
                <w:rFonts w:ascii="Times New Roman" w:hAnsi="Times New Roman"/>
                <w:szCs w:val="24"/>
              </w:rPr>
              <w:t>3</w:t>
            </w:r>
            <w:r w:rsidR="0062734E" w:rsidRPr="000137BF">
              <w:rPr>
                <w:rFonts w:ascii="Times New Roman" w:hAnsi="Times New Roman"/>
                <w:szCs w:val="24"/>
              </w:rPr>
              <w:t xml:space="preserve"> </w:t>
            </w:r>
            <w:r w:rsidRPr="000137BF">
              <w:rPr>
                <w:rFonts w:ascii="Times New Roman" w:hAnsi="Times New Roman"/>
                <w:szCs w:val="24"/>
              </w:rPr>
              <w:t>(для головного інженера проекту, інженерів-проектувальників, які є безпосередніми розробниками розділів або частин проекту), на кожну особу, зазначен</w:t>
            </w:r>
            <w:r w:rsidR="00CB48C7" w:rsidRPr="000137BF">
              <w:rPr>
                <w:rFonts w:ascii="Times New Roman" w:hAnsi="Times New Roman"/>
                <w:szCs w:val="24"/>
              </w:rPr>
              <w:t>у ним у довідці.</w:t>
            </w:r>
            <w:r w:rsidR="00CB48C7">
              <w:rPr>
                <w:rFonts w:ascii="Times New Roman" w:hAnsi="Times New Roman"/>
                <w:szCs w:val="24"/>
              </w:rPr>
              <w:t xml:space="preserve"> </w:t>
            </w:r>
          </w:p>
        </w:tc>
      </w:tr>
      <w:tr w:rsidR="00A2448C" w:rsidRPr="004B1AD1" w:rsidTr="00817B15">
        <w:trPr>
          <w:trHeight w:val="624"/>
        </w:trPr>
        <w:tc>
          <w:tcPr>
            <w:tcW w:w="10206" w:type="dxa"/>
            <w:shd w:val="clear" w:color="auto" w:fill="auto"/>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4B1AD1"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414863" w:rsidRPr="00C86290" w:rsidRDefault="00913830" w:rsidP="00C86290">
            <w:pPr>
              <w:pStyle w:val="aa"/>
              <w:numPr>
                <w:ilvl w:val="1"/>
                <w:numId w:val="2"/>
              </w:numPr>
              <w:spacing w:after="0" w:line="240" w:lineRule="auto"/>
              <w:ind w:left="204" w:firstLine="876"/>
              <w:jc w:val="both"/>
              <w:rPr>
                <w:rFonts w:ascii="Times New Roman" w:eastAsia="Times New Roman" w:hAnsi="Times New Roman" w:cs="Times New Roman"/>
                <w:color w:val="000000"/>
                <w:szCs w:val="24"/>
                <w:lang w:eastAsia="uk-UA"/>
              </w:rPr>
            </w:pPr>
            <w:r w:rsidRPr="00C86290">
              <w:rPr>
                <w:rFonts w:ascii="Times New Roman" w:eastAsia="Times New Roman" w:hAnsi="Times New Roman" w:cs="Times New Roman"/>
                <w:color w:val="000000"/>
                <w:szCs w:val="24"/>
                <w:lang w:eastAsia="uk-UA"/>
              </w:rPr>
              <w:t xml:space="preserve">Довідка про виконання Учасником аналогічного договору </w:t>
            </w:r>
            <w:r w:rsidR="00C86290" w:rsidRPr="00C86290">
              <w:rPr>
                <w:rFonts w:ascii="Times New Roman" w:eastAsia="Times New Roman" w:hAnsi="Times New Roman" w:cs="Times New Roman"/>
                <w:color w:val="000000"/>
                <w:szCs w:val="24"/>
                <w:lang w:eastAsia="uk-UA"/>
              </w:rPr>
              <w:t xml:space="preserve">згідно предмету закупівлі </w:t>
            </w:r>
            <w:r w:rsidRPr="00C86290">
              <w:rPr>
                <w:rFonts w:ascii="Times New Roman" w:eastAsia="Times New Roman" w:hAnsi="Times New Roman" w:cs="Times New Roman"/>
                <w:color w:val="000000"/>
                <w:szCs w:val="24"/>
                <w:lang w:eastAsia="uk-UA"/>
              </w:rPr>
              <w:t>за формою, наведеною у Таблиці 2.</w:t>
            </w:r>
          </w:p>
          <w:p w:rsidR="009516B1" w:rsidRPr="004B1AD1" w:rsidRDefault="009516B1" w:rsidP="00E66557">
            <w:pPr>
              <w:spacing w:after="0" w:line="240" w:lineRule="auto"/>
              <w:jc w:val="right"/>
              <w:rPr>
                <w:rFonts w:ascii="Times New Roman" w:hAnsi="Times New Roman"/>
                <w:b/>
                <w:bCs/>
                <w:iCs/>
                <w:szCs w:val="24"/>
              </w:rPr>
            </w:pPr>
            <w:r w:rsidRPr="004B1AD1">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4B1AD1" w:rsidRDefault="00AC5D53" w:rsidP="00EE3A81">
            <w:pPr>
              <w:pStyle w:val="aa"/>
              <w:numPr>
                <w:ilvl w:val="1"/>
                <w:numId w:val="2"/>
              </w:num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 xml:space="preserve"> </w:t>
            </w:r>
            <w:r w:rsidR="00E81B57" w:rsidRPr="004B1AD1">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4B1AD1">
              <w:rPr>
                <w:rFonts w:ascii="Times New Roman" w:eastAsia="Times New Roman" w:hAnsi="Times New Roman" w:cs="Times New Roman"/>
                <w:color w:val="000000"/>
                <w:szCs w:val="24"/>
                <w:lang w:eastAsia="uk-UA"/>
              </w:rPr>
              <w:t>дений(ні) в довідці (Таблиця</w:t>
            </w:r>
          </w:p>
          <w:p w:rsidR="00C22FA3" w:rsidRPr="00C22FA3" w:rsidRDefault="00C22FA3" w:rsidP="00C22FA3">
            <w:pPr>
              <w:spacing w:after="0" w:line="240" w:lineRule="auto"/>
              <w:ind w:firstLine="850"/>
              <w:jc w:val="both"/>
              <w:rPr>
                <w:rFonts w:ascii="Times New Roman" w:hAnsi="Times New Roman" w:cs="Times New Roman"/>
                <w:color w:val="000000"/>
                <w:shd w:val="clear" w:color="auto" w:fill="FFFFFF"/>
              </w:rPr>
            </w:pPr>
            <w:r w:rsidRPr="00C22FA3">
              <w:rPr>
                <w:rFonts w:ascii="Times New Roman" w:hAnsi="Times New Roman" w:cs="Times New Roman"/>
                <w:color w:val="000000"/>
                <w:shd w:val="clear" w:color="auto" w:fill="FFFFFF"/>
              </w:rPr>
              <w:t>Аналогічним буде вважатися договір з виготовлення (розроблення або коригування) проектної документації (проектно-кошторисної документації) на будівництво, реконструкцію або капітальний ремонт автомобільної дороги на дорогах  загального користування державного значення з індексом «М», «Н» І, ІІ  технічних категорій, які за класом наслідків (відповідальності) відносяться до СС3.</w:t>
            </w:r>
          </w:p>
          <w:p w:rsidR="00C22FA3" w:rsidRPr="00C22FA3" w:rsidRDefault="00C22FA3" w:rsidP="00C22FA3">
            <w:pPr>
              <w:spacing w:after="0" w:line="240" w:lineRule="auto"/>
              <w:ind w:firstLine="850"/>
              <w:jc w:val="both"/>
              <w:rPr>
                <w:rFonts w:ascii="Times New Roman" w:hAnsi="Times New Roman" w:cs="Times New Roman"/>
                <w:color w:val="000000"/>
                <w:shd w:val="clear" w:color="auto" w:fill="FFFFFF"/>
              </w:rPr>
            </w:pPr>
            <w:r w:rsidRPr="00C22FA3">
              <w:rPr>
                <w:rFonts w:ascii="Times New Roman" w:hAnsi="Times New Roman" w:cs="Times New Roman"/>
                <w:color w:val="000000"/>
                <w:shd w:val="clear" w:color="auto" w:fill="FFFFFF"/>
              </w:rPr>
              <w:t>У разі, якщо учасник надає аналогічний договір, який виконувався поза межами України, учасником зазначається еквівалент відповідності щодо класу наслідків (відповідальності). В такому випадку учасник додатково надає лист-пояснення щодо еквіваленту відповідності класу наслідків (відповідальності) та у разі необхідності іншої інформації, яка вимагає пояснень щодо аналогічності договору.</w:t>
            </w:r>
          </w:p>
          <w:p w:rsidR="00C22FA3" w:rsidRPr="00C22FA3" w:rsidRDefault="00C22FA3" w:rsidP="00C22FA3">
            <w:pPr>
              <w:spacing w:after="0" w:line="240" w:lineRule="auto"/>
              <w:ind w:firstLine="850"/>
              <w:jc w:val="both"/>
              <w:rPr>
                <w:rFonts w:ascii="Times New Roman" w:hAnsi="Times New Roman" w:cs="Times New Roman"/>
                <w:color w:val="000000"/>
                <w:shd w:val="clear" w:color="auto" w:fill="FFFFFF"/>
              </w:rPr>
            </w:pPr>
          </w:p>
          <w:p w:rsidR="00EE3A81" w:rsidRPr="00C22FA3" w:rsidRDefault="00C22FA3" w:rsidP="00C22FA3">
            <w:pPr>
              <w:spacing w:after="0" w:line="240" w:lineRule="auto"/>
              <w:ind w:firstLine="850"/>
              <w:jc w:val="both"/>
              <w:rPr>
                <w:rFonts w:ascii="Times New Roman" w:hAnsi="Times New Roman" w:cs="Times New Roman"/>
                <w:b/>
                <w:bCs/>
                <w:color w:val="000000"/>
                <w:shd w:val="clear" w:color="auto" w:fill="FFFFFF"/>
                <w:lang w:val="ru-RU"/>
              </w:rPr>
            </w:pPr>
            <w:r w:rsidRPr="00C22FA3">
              <w:rPr>
                <w:rFonts w:ascii="Times New Roman" w:hAnsi="Times New Roman" w:cs="Times New Roman"/>
                <w:color w:val="000000"/>
                <w:shd w:val="clear" w:color="auto" w:fill="FFFFFF"/>
              </w:rPr>
              <w:t>Учасник обов’язково повинен нада</w:t>
            </w:r>
            <w:r>
              <w:rPr>
                <w:rFonts w:ascii="Times New Roman" w:hAnsi="Times New Roman" w:cs="Times New Roman"/>
                <w:color w:val="000000"/>
                <w:shd w:val="clear" w:color="auto" w:fill="FFFFFF"/>
              </w:rPr>
              <w:t>ти  лист від розробника проекту</w:t>
            </w:r>
            <w:r w:rsidRPr="00C22FA3">
              <w:rPr>
                <w:rFonts w:ascii="Times New Roman" w:hAnsi="Times New Roman" w:cs="Times New Roman"/>
                <w:color w:val="000000"/>
                <w:shd w:val="clear" w:color="auto" w:fill="FFFFFF"/>
              </w:rPr>
              <w:t xml:space="preserve"> п</w:t>
            </w:r>
            <w:r>
              <w:rPr>
                <w:rFonts w:ascii="Times New Roman" w:hAnsi="Times New Roman" w:cs="Times New Roman"/>
                <w:color w:val="000000"/>
                <w:shd w:val="clear" w:color="auto" w:fill="FFFFFF"/>
              </w:rPr>
              <w:t>ро делегування  авторських прав</w:t>
            </w:r>
            <w:r w:rsidRPr="00C22FA3">
              <w:rPr>
                <w:rFonts w:ascii="Times New Roman" w:hAnsi="Times New Roman" w:cs="Times New Roman"/>
                <w:color w:val="000000"/>
                <w:shd w:val="clear" w:color="auto" w:fill="FFFFFF"/>
              </w:rPr>
              <w:t xml:space="preserve"> щодо розробленого робочого проекту "Капітальний ремонт автомобільної дороги державного значення Капітальний ремонт автомобільної дороги державного значення М-05 Київ - Одеса </w:t>
            </w:r>
            <w:r w:rsidR="009260BE">
              <w:rPr>
                <w:rFonts w:ascii="Times New Roman" w:hAnsi="Times New Roman" w:cs="Times New Roman"/>
                <w:color w:val="000000"/>
                <w:shd w:val="clear" w:color="auto" w:fill="FFFFFF"/>
              </w:rPr>
              <w:t xml:space="preserve">на </w:t>
            </w:r>
            <w:r w:rsidR="009260BE" w:rsidRPr="009260BE">
              <w:rPr>
                <w:rFonts w:ascii="Times New Roman" w:hAnsi="Times New Roman" w:cs="Times New Roman"/>
                <w:color w:val="000000"/>
                <w:shd w:val="clear" w:color="auto" w:fill="FFFFFF"/>
              </w:rPr>
              <w:t xml:space="preserve">ділянці </w:t>
            </w:r>
            <w:r w:rsidR="00FE1001" w:rsidRPr="00FE1001">
              <w:rPr>
                <w:rFonts w:ascii="Times New Roman" w:hAnsi="Times New Roman" w:cs="Times New Roman"/>
                <w:color w:val="000000"/>
                <w:shd w:val="clear" w:color="auto" w:fill="FFFFFF"/>
              </w:rPr>
              <w:t>км 113+400– км 120+900</w:t>
            </w:r>
            <w:r w:rsidR="009260BE">
              <w:rPr>
                <w:rFonts w:ascii="Times New Roman" w:hAnsi="Times New Roman" w:cs="Times New Roman"/>
                <w:color w:val="000000"/>
                <w:shd w:val="clear" w:color="auto" w:fill="FFFFFF"/>
              </w:rPr>
              <w:t>, Київська область</w:t>
            </w:r>
            <w:r w:rsidRPr="00C22FA3">
              <w:rPr>
                <w:rFonts w:ascii="Times New Roman" w:hAnsi="Times New Roman" w:cs="Times New Roman"/>
                <w:color w:val="000000"/>
                <w:shd w:val="clear" w:color="auto" w:fill="FFFFFF"/>
              </w:rPr>
              <w:t>".</w:t>
            </w:r>
          </w:p>
          <w:p w:rsidR="00BF5B50" w:rsidRPr="00864D5C" w:rsidRDefault="00BF5B50" w:rsidP="00864D5C">
            <w:pPr>
              <w:spacing w:after="0" w:line="240" w:lineRule="auto"/>
              <w:jc w:val="both"/>
              <w:rPr>
                <w:rFonts w:ascii="Times New Roman" w:eastAsia="Times New Roman" w:hAnsi="Times New Roman" w:cs="Times New Roman"/>
                <w:szCs w:val="24"/>
                <w:lang w:eastAsia="uk-UA"/>
              </w:rPr>
            </w:pPr>
          </w:p>
          <w:p w:rsidR="00A2448C" w:rsidRPr="00817B15" w:rsidRDefault="00817B15" w:rsidP="005D1FF7">
            <w:pPr>
              <w:pStyle w:val="aa"/>
              <w:numPr>
                <w:ilvl w:val="1"/>
                <w:numId w:val="2"/>
              </w:numPr>
              <w:spacing w:after="0" w:line="240" w:lineRule="auto"/>
              <w:ind w:left="62" w:firstLine="993"/>
              <w:jc w:val="both"/>
              <w:rPr>
                <w:rFonts w:ascii="Times New Roman" w:eastAsia="Times New Roman" w:hAnsi="Times New Roman" w:cs="Times New Roman"/>
                <w:szCs w:val="24"/>
                <w:lang w:eastAsia="uk-UA"/>
              </w:rPr>
            </w:pPr>
            <w:r w:rsidRPr="000137BF">
              <w:rPr>
                <w:rFonts w:ascii="Times New Roman" w:hAnsi="Times New Roman" w:cs="Times New Roman"/>
                <w:color w:val="222222"/>
                <w:shd w:val="clear" w:color="auto" w:fill="FFFFFF"/>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817B15" w:rsidRDefault="00817B15" w:rsidP="00A85D3B">
      <w:pPr>
        <w:spacing w:after="0" w:line="240" w:lineRule="auto"/>
        <w:rPr>
          <w:rFonts w:ascii="Times New Roman" w:eastAsia="Times New Roman" w:hAnsi="Times New Roman" w:cs="Times New Roman"/>
          <w:b/>
          <w:bCs/>
          <w:color w:val="000000"/>
          <w:szCs w:val="24"/>
          <w:lang w:eastAsia="uk-UA"/>
        </w:rPr>
      </w:pPr>
    </w:p>
    <w:p w:rsidR="00817B15" w:rsidRDefault="00817B15"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C22FA3">
        <w:rPr>
          <w:rFonts w:ascii="Times New Roman" w:hAnsi="Times New Roman"/>
          <w:b/>
          <w:sz w:val="24"/>
          <w:szCs w:val="24"/>
          <w:lang w:val="ru-RU" w:eastAsia="ru-RU"/>
        </w:rPr>
        <w:t>коригування проектної документації</w:t>
      </w:r>
      <w:r w:rsidR="00E24D06">
        <w:rPr>
          <w:rFonts w:ascii="Times New Roman" w:hAnsi="Times New Roman"/>
          <w:b/>
          <w:sz w:val="24"/>
          <w:szCs w:val="24"/>
          <w:lang w:val="ru-RU" w:eastAsia="ru-RU"/>
        </w:rPr>
        <w:t xml:space="preserve">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 xml:space="preserve">ому </w:t>
      </w:r>
      <w:r w:rsidRPr="00B56FC1">
        <w:rPr>
          <w:rFonts w:ascii="Times New Roman" w:hAnsi="Times New Roman"/>
          <w:b/>
          <w:sz w:val="24"/>
          <w:szCs w:val="24"/>
          <w:lang w:val="uk-UA" w:eastAsia="ru-RU"/>
        </w:rPr>
        <w:t>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w:t>
      </w:r>
      <w:r w:rsidR="00C22FA3">
        <w:rPr>
          <w:rFonts w:ascii="Times New Roman" w:eastAsia="Times New Roman" w:hAnsi="Times New Roman" w:cs="Times New Roman"/>
          <w:b/>
          <w:bCs/>
          <w:color w:val="000000"/>
          <w:szCs w:val="24"/>
          <w:lang w:eastAsia="uk-UA"/>
        </w:rPr>
        <w:t>учасника _______________      </w:t>
      </w:r>
      <w:r w:rsidRPr="00B037CB">
        <w:rPr>
          <w:rFonts w:ascii="Times New Roman" w:eastAsia="Times New Roman" w:hAnsi="Times New Roman" w:cs="Times New Roman"/>
          <w:b/>
          <w:bCs/>
          <w:color w:val="000000"/>
          <w:szCs w:val="24"/>
          <w:lang w:eastAsia="uk-UA"/>
        </w:rPr>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w:t>
      </w:r>
      <w:r w:rsidR="00C22FA3">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Default="00EA75BF" w:rsidP="00EA75BF">
      <w:pPr>
        <w:spacing w:after="0"/>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C22FA3">
        <w:rPr>
          <w:rFonts w:ascii="Times New Roman" w:hAnsi="Times New Roman"/>
          <w:b/>
          <w:szCs w:val="24"/>
        </w:rPr>
        <w:t>к</w:t>
      </w:r>
      <w:r w:rsidR="00C22FA3" w:rsidRPr="00C22FA3">
        <w:rPr>
          <w:rFonts w:ascii="Times New Roman" w:hAnsi="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C17435" w:rsidRPr="00C17435">
        <w:rPr>
          <w:rFonts w:ascii="Times New Roman" w:hAnsi="Times New Roman"/>
          <w:b/>
          <w:szCs w:val="24"/>
        </w:rPr>
        <w:t xml:space="preserve">км </w:t>
      </w:r>
      <w:r w:rsidR="000963E6" w:rsidRPr="00C17435">
        <w:rPr>
          <w:rFonts w:ascii="Times New Roman" w:hAnsi="Times New Roman"/>
          <w:b/>
          <w:szCs w:val="24"/>
        </w:rPr>
        <w:t>113+400</w:t>
      </w:r>
      <w:r w:rsidR="000963E6">
        <w:rPr>
          <w:rFonts w:ascii="Times New Roman" w:hAnsi="Times New Roman"/>
          <w:b/>
          <w:szCs w:val="24"/>
        </w:rPr>
        <w:t xml:space="preserve"> </w:t>
      </w:r>
      <w:r w:rsidR="00C17435" w:rsidRPr="00C17435">
        <w:rPr>
          <w:rFonts w:ascii="Times New Roman" w:hAnsi="Times New Roman"/>
          <w:b/>
          <w:szCs w:val="24"/>
        </w:rPr>
        <w:t>– км 1</w:t>
      </w:r>
      <w:r w:rsidR="000963E6">
        <w:rPr>
          <w:rFonts w:ascii="Times New Roman" w:hAnsi="Times New Roman"/>
          <w:b/>
          <w:szCs w:val="24"/>
        </w:rPr>
        <w:t>20</w:t>
      </w:r>
      <w:r w:rsidR="00C17435" w:rsidRPr="00C17435">
        <w:rPr>
          <w:rFonts w:ascii="Times New Roman" w:hAnsi="Times New Roman"/>
          <w:b/>
          <w:szCs w:val="24"/>
        </w:rPr>
        <w:t>+</w:t>
      </w:r>
      <w:r w:rsidR="000963E6">
        <w:rPr>
          <w:rFonts w:ascii="Times New Roman" w:hAnsi="Times New Roman"/>
          <w:b/>
          <w:szCs w:val="24"/>
        </w:rPr>
        <w:t>9</w:t>
      </w:r>
      <w:r w:rsidR="00C17435" w:rsidRPr="00C17435">
        <w:rPr>
          <w:rFonts w:ascii="Times New Roman" w:hAnsi="Times New Roman"/>
          <w:b/>
          <w:szCs w:val="24"/>
        </w:rPr>
        <w:t>00</w:t>
      </w:r>
      <w:r w:rsidR="00C22FA3" w:rsidRPr="00C22FA3">
        <w:rPr>
          <w:rFonts w:ascii="Times New Roman" w:hAnsi="Times New Roman"/>
          <w:b/>
          <w:szCs w:val="24"/>
        </w:rPr>
        <w:t>, Київська область (ДК 021:2015: 71322000-1 — Послуги з інженерного проектування в галузі цивільного будівництва)</w:t>
      </w:r>
      <w:r>
        <w:rPr>
          <w:rFonts w:ascii="Times New Roman" w:hAnsi="Times New Roman"/>
          <w:b/>
          <w:szCs w:val="24"/>
        </w:rPr>
        <w:t>.</w:t>
      </w:r>
      <w:r>
        <w:rPr>
          <w:rFonts w:ascii="Times New Roman" w:hAnsi="Times New Roman"/>
          <w:szCs w:val="24"/>
        </w:rPr>
        <w:t xml:space="preserve">                                  </w:t>
      </w:r>
    </w:p>
    <w:p w:rsidR="00A500DF" w:rsidRPr="00EA75BF" w:rsidRDefault="00EA75BF" w:rsidP="00EA75BF">
      <w:pPr>
        <w:spacing w:after="0"/>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C22FA3">
        <w:rPr>
          <w:rFonts w:ascii="Times New Roman" w:hAnsi="Times New Roman"/>
          <w:b/>
          <w:szCs w:val="24"/>
        </w:rPr>
        <w:t>к</w:t>
      </w:r>
      <w:r w:rsidR="00C22FA3" w:rsidRPr="00C22FA3">
        <w:rPr>
          <w:rFonts w:ascii="Times New Roman" w:hAnsi="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0963E6" w:rsidRPr="00C17435">
        <w:rPr>
          <w:rFonts w:ascii="Times New Roman" w:hAnsi="Times New Roman"/>
          <w:b/>
          <w:szCs w:val="24"/>
        </w:rPr>
        <w:t>км 113+400</w:t>
      </w:r>
      <w:r w:rsidR="000963E6">
        <w:rPr>
          <w:rFonts w:ascii="Times New Roman" w:hAnsi="Times New Roman"/>
          <w:b/>
          <w:szCs w:val="24"/>
        </w:rPr>
        <w:t xml:space="preserve"> </w:t>
      </w:r>
      <w:r w:rsidR="000963E6" w:rsidRPr="00C17435">
        <w:rPr>
          <w:rFonts w:ascii="Times New Roman" w:hAnsi="Times New Roman"/>
          <w:b/>
          <w:szCs w:val="24"/>
        </w:rPr>
        <w:t>– км 1</w:t>
      </w:r>
      <w:r w:rsidR="000963E6">
        <w:rPr>
          <w:rFonts w:ascii="Times New Roman" w:hAnsi="Times New Roman"/>
          <w:b/>
          <w:szCs w:val="24"/>
        </w:rPr>
        <w:t>20</w:t>
      </w:r>
      <w:r w:rsidR="000963E6" w:rsidRPr="00C17435">
        <w:rPr>
          <w:rFonts w:ascii="Times New Roman" w:hAnsi="Times New Roman"/>
          <w:b/>
          <w:szCs w:val="24"/>
        </w:rPr>
        <w:t>+</w:t>
      </w:r>
      <w:r w:rsidR="000963E6">
        <w:rPr>
          <w:rFonts w:ascii="Times New Roman" w:hAnsi="Times New Roman"/>
          <w:b/>
          <w:szCs w:val="24"/>
        </w:rPr>
        <w:t>9</w:t>
      </w:r>
      <w:r w:rsidR="000963E6" w:rsidRPr="00C17435">
        <w:rPr>
          <w:rFonts w:ascii="Times New Roman" w:hAnsi="Times New Roman"/>
          <w:b/>
          <w:szCs w:val="24"/>
        </w:rPr>
        <w:t>00</w:t>
      </w:r>
      <w:r w:rsidR="00C22FA3" w:rsidRPr="00C22FA3">
        <w:rPr>
          <w:rFonts w:ascii="Times New Roman" w:hAnsi="Times New Roman"/>
          <w:b/>
          <w:szCs w:val="24"/>
        </w:rPr>
        <w:t>, Київська область (ДК 021:2015: 71322000-1 — Послуги з інженерного проектування в галузі цивільного будівництва)</w:t>
      </w:r>
      <w:r>
        <w:rPr>
          <w:rFonts w:ascii="Times New Roman" w:hAnsi="Times New Roman"/>
          <w:b/>
          <w:szCs w:val="24"/>
        </w:rPr>
        <w:t xml:space="preserve"> </w:t>
      </w:r>
      <w:r w:rsidR="00A500DF" w:rsidRPr="00B56FC1">
        <w:rPr>
          <w:rFonts w:ascii="Times New Roman" w:hAnsi="Times New Roman"/>
          <w:szCs w:val="24"/>
        </w:rPr>
        <w:t>у відповідності до тендерної документації, вимог завдання</w:t>
      </w:r>
      <w:r w:rsidR="009943E7">
        <w:rPr>
          <w:rFonts w:ascii="Times New Roman" w:hAnsi="Times New Roman"/>
          <w:szCs w:val="24"/>
        </w:rPr>
        <w:t xml:space="preserve"> </w:t>
      </w:r>
      <w:r w:rsidR="00A500DF" w:rsidRPr="00B56FC1">
        <w:rPr>
          <w:rFonts w:ascii="Times New Roman" w:hAnsi="Times New Roman"/>
          <w:szCs w:val="24"/>
        </w:rPr>
        <w:t>(</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9943E7">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860866"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17B15">
        <w:rPr>
          <w:rFonts w:ascii="Times New Roman" w:hAnsi="Times New Roman"/>
          <w:b/>
          <w:color w:val="000000" w:themeColor="text1"/>
          <w:szCs w:val="24"/>
        </w:rPr>
        <w:t>Виконання робіт</w:t>
      </w:r>
      <w:r w:rsidRPr="00CE1E17">
        <w:rPr>
          <w:rFonts w:ascii="Times New Roman" w:hAnsi="Times New Roman"/>
          <w:b/>
          <w:color w:val="000000" w:themeColor="text1"/>
          <w:szCs w:val="24"/>
        </w:rPr>
        <w:t>:</w:t>
      </w:r>
      <w:r w:rsidRPr="00CE1E17">
        <w:rPr>
          <w:rFonts w:ascii="Times New Roman" w:hAnsi="Times New Roman"/>
          <w:b/>
          <w:color w:val="000000" w:themeColor="text1"/>
          <w:szCs w:val="24"/>
          <w:u w:val="single"/>
          <w:lang w:val="ru-RU"/>
        </w:rPr>
        <w:t xml:space="preserve"> з дати підписання договору </w:t>
      </w:r>
      <w:r w:rsidR="00817B15" w:rsidRPr="00CE1E17">
        <w:rPr>
          <w:rFonts w:ascii="Times New Roman" w:hAnsi="Times New Roman"/>
          <w:b/>
          <w:color w:val="000000" w:themeColor="text1"/>
          <w:szCs w:val="24"/>
          <w:u w:val="single"/>
        </w:rPr>
        <w:t>д</w:t>
      </w:r>
      <w:r w:rsidR="004B1AD1" w:rsidRPr="00CE1E17">
        <w:rPr>
          <w:rFonts w:ascii="Times New Roman" w:hAnsi="Times New Roman"/>
          <w:b/>
          <w:color w:val="000000" w:themeColor="text1"/>
          <w:szCs w:val="24"/>
          <w:u w:val="single"/>
        </w:rPr>
        <w:t xml:space="preserve">о </w:t>
      </w:r>
      <w:r w:rsidR="00817B15" w:rsidRPr="00CE1E17">
        <w:rPr>
          <w:rFonts w:ascii="Times New Roman" w:hAnsi="Times New Roman"/>
          <w:b/>
          <w:color w:val="000000" w:themeColor="text1"/>
          <w:szCs w:val="24"/>
          <w:u w:val="single"/>
        </w:rPr>
        <w:t>«</w:t>
      </w:r>
      <w:r w:rsidR="00CE1E17" w:rsidRPr="00CE1E17">
        <w:rPr>
          <w:rFonts w:ascii="Times New Roman" w:hAnsi="Times New Roman"/>
          <w:b/>
          <w:color w:val="000000" w:themeColor="text1"/>
          <w:szCs w:val="24"/>
          <w:u w:val="single"/>
        </w:rPr>
        <w:t>01</w:t>
      </w:r>
      <w:r w:rsidR="00817B15" w:rsidRPr="00CE1E17">
        <w:rPr>
          <w:rFonts w:ascii="Times New Roman" w:hAnsi="Times New Roman"/>
          <w:b/>
          <w:color w:val="000000" w:themeColor="text1"/>
          <w:szCs w:val="24"/>
          <w:u w:val="single"/>
        </w:rPr>
        <w:t xml:space="preserve">» </w:t>
      </w:r>
      <w:r w:rsidR="00CE1E17" w:rsidRPr="00CE1E17">
        <w:rPr>
          <w:rFonts w:ascii="Times New Roman" w:hAnsi="Times New Roman"/>
          <w:b/>
          <w:color w:val="000000" w:themeColor="text1"/>
          <w:szCs w:val="24"/>
          <w:u w:val="single"/>
        </w:rPr>
        <w:t>липня</w:t>
      </w:r>
      <w:r w:rsidR="00817B15" w:rsidRPr="00CE1E17">
        <w:rPr>
          <w:rFonts w:ascii="Times New Roman" w:hAnsi="Times New Roman"/>
          <w:b/>
          <w:color w:val="000000" w:themeColor="text1"/>
          <w:szCs w:val="24"/>
          <w:u w:val="single"/>
        </w:rPr>
        <w:t xml:space="preserve"> </w:t>
      </w:r>
      <w:r w:rsidRPr="00CE1E17">
        <w:rPr>
          <w:rFonts w:ascii="Times New Roman" w:hAnsi="Times New Roman"/>
          <w:b/>
          <w:color w:val="000000" w:themeColor="text1"/>
          <w:szCs w:val="24"/>
          <w:u w:val="single"/>
        </w:rPr>
        <w:t>202</w:t>
      </w:r>
      <w:r w:rsidR="00CE1E17" w:rsidRPr="00CE1E17">
        <w:rPr>
          <w:rFonts w:ascii="Times New Roman" w:hAnsi="Times New Roman"/>
          <w:b/>
          <w:color w:val="000000" w:themeColor="text1"/>
          <w:szCs w:val="24"/>
          <w:u w:val="single"/>
        </w:rPr>
        <w:t>4</w:t>
      </w:r>
      <w:r w:rsidRPr="00CE1E17">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Default="00A500DF" w:rsidP="00A500DF">
      <w:pPr>
        <w:rPr>
          <w:rFonts w:ascii="Times New Roman" w:hAnsi="Times New Roman"/>
          <w:b/>
          <w:szCs w:val="24"/>
        </w:rPr>
      </w:pPr>
    </w:p>
    <w:p w:rsidR="00817B15" w:rsidRDefault="00817B15" w:rsidP="00A500DF">
      <w:pPr>
        <w:rPr>
          <w:rFonts w:ascii="Times New Roman" w:hAnsi="Times New Roman"/>
          <w:b/>
          <w:szCs w:val="24"/>
        </w:rPr>
      </w:pPr>
    </w:p>
    <w:p w:rsidR="00C22FA3" w:rsidRPr="00B56FC1" w:rsidRDefault="00C22FA3" w:rsidP="00A500DF">
      <w:pPr>
        <w:rPr>
          <w:rFonts w:ascii="Times New Roman" w:hAnsi="Times New Roman"/>
          <w:b/>
          <w:szCs w:val="24"/>
        </w:rPr>
      </w:pPr>
    </w:p>
    <w:p w:rsidR="00A500DF" w:rsidRPr="00B56FC1" w:rsidRDefault="00A500DF" w:rsidP="00A500DF">
      <w:pPr>
        <w:rPr>
          <w:rFonts w:ascii="Times New Roman" w:hAnsi="Times New Roman"/>
          <w:b/>
          <w:szCs w:val="24"/>
        </w:rPr>
      </w:pPr>
    </w:p>
    <w:p w:rsidR="00A500DF" w:rsidRPr="00B56FC1" w:rsidRDefault="00A500DF" w:rsidP="00CB48C7">
      <w:pPr>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EE3A81" w:rsidRDefault="00A500DF" w:rsidP="00EE3A81">
      <w:pPr>
        <w:spacing w:after="0"/>
        <w:ind w:firstLine="708"/>
        <w:jc w:val="both"/>
        <w:rPr>
          <w:rFonts w:ascii="Times New Roman" w:hAnsi="Times New Roman"/>
          <w:b/>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EA75BF">
        <w:rPr>
          <w:rFonts w:ascii="Times New Roman" w:hAnsi="Times New Roman"/>
          <w:b/>
          <w:szCs w:val="24"/>
        </w:rPr>
        <w:t xml:space="preserve">з </w:t>
      </w:r>
      <w:r w:rsidR="00C22FA3">
        <w:rPr>
          <w:rFonts w:ascii="Times New Roman" w:hAnsi="Times New Roman"/>
          <w:b/>
          <w:szCs w:val="24"/>
        </w:rPr>
        <w:t>к</w:t>
      </w:r>
      <w:r w:rsidR="00C22FA3" w:rsidRPr="00C22FA3">
        <w:rPr>
          <w:rFonts w:ascii="Times New Roman" w:hAnsi="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0963E6" w:rsidRPr="00C17435">
        <w:rPr>
          <w:rFonts w:ascii="Times New Roman" w:hAnsi="Times New Roman"/>
          <w:b/>
          <w:szCs w:val="24"/>
        </w:rPr>
        <w:t>км 113+400</w:t>
      </w:r>
      <w:r w:rsidR="000963E6">
        <w:rPr>
          <w:rFonts w:ascii="Times New Roman" w:hAnsi="Times New Roman"/>
          <w:b/>
          <w:szCs w:val="24"/>
        </w:rPr>
        <w:t xml:space="preserve"> </w:t>
      </w:r>
      <w:r w:rsidR="000963E6" w:rsidRPr="00C17435">
        <w:rPr>
          <w:rFonts w:ascii="Times New Roman" w:hAnsi="Times New Roman"/>
          <w:b/>
          <w:szCs w:val="24"/>
        </w:rPr>
        <w:t>– км 1</w:t>
      </w:r>
      <w:r w:rsidR="000963E6">
        <w:rPr>
          <w:rFonts w:ascii="Times New Roman" w:hAnsi="Times New Roman"/>
          <w:b/>
          <w:szCs w:val="24"/>
        </w:rPr>
        <w:t>20</w:t>
      </w:r>
      <w:r w:rsidR="000963E6" w:rsidRPr="00C17435">
        <w:rPr>
          <w:rFonts w:ascii="Times New Roman" w:hAnsi="Times New Roman"/>
          <w:b/>
          <w:szCs w:val="24"/>
        </w:rPr>
        <w:t>+</w:t>
      </w:r>
      <w:r w:rsidR="000963E6">
        <w:rPr>
          <w:rFonts w:ascii="Times New Roman" w:hAnsi="Times New Roman"/>
          <w:b/>
          <w:szCs w:val="24"/>
        </w:rPr>
        <w:t>9</w:t>
      </w:r>
      <w:r w:rsidR="000963E6" w:rsidRPr="00C17435">
        <w:rPr>
          <w:rFonts w:ascii="Times New Roman" w:hAnsi="Times New Roman"/>
          <w:b/>
          <w:szCs w:val="24"/>
        </w:rPr>
        <w:t>00</w:t>
      </w:r>
      <w:r w:rsidR="00C22FA3" w:rsidRPr="00C22FA3">
        <w:rPr>
          <w:rFonts w:ascii="Times New Roman" w:hAnsi="Times New Roman"/>
          <w:b/>
          <w:szCs w:val="24"/>
        </w:rPr>
        <w:t>, Київська область (ДК 021:2015: 71322000-1 — Послуги з інженерного проектування в галузі цивільного будівництва)</w:t>
      </w:r>
      <w:r w:rsidR="00EA75BF" w:rsidRPr="004757BE">
        <w:rPr>
          <w:rFonts w:ascii="Times New Roman" w:eastAsia="Times New Roman" w:hAnsi="Times New Roman" w:cs="Times New Roman"/>
          <w:szCs w:val="24"/>
          <w:lang w:eastAsia="uk-UA"/>
        </w:rPr>
        <w:br/>
      </w:r>
    </w:p>
    <w:p w:rsidR="00A500DF" w:rsidRPr="00B56FC1" w:rsidRDefault="00A500DF" w:rsidP="00A500DF">
      <w:pPr>
        <w:spacing w:after="0" w:line="20" w:lineRule="atLeast"/>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710F33">
        <w:trPr>
          <w:trHeight w:val="1273"/>
        </w:trPr>
        <w:tc>
          <w:tcPr>
            <w:tcW w:w="876"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611"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77"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710F33">
        <w:tc>
          <w:tcPr>
            <w:tcW w:w="876"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611"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77"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1D" w:rsidRDefault="00C4741D" w:rsidP="00583217">
      <w:pPr>
        <w:spacing w:after="0" w:line="240" w:lineRule="auto"/>
      </w:pPr>
      <w:r>
        <w:separator/>
      </w:r>
    </w:p>
  </w:endnote>
  <w:endnote w:type="continuationSeparator" w:id="0">
    <w:p w:rsidR="00C4741D" w:rsidRDefault="00C4741D"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1D" w:rsidRDefault="00C4741D" w:rsidP="00583217">
      <w:pPr>
        <w:spacing w:after="0" w:line="240" w:lineRule="auto"/>
      </w:pPr>
      <w:r>
        <w:separator/>
      </w:r>
    </w:p>
  </w:footnote>
  <w:footnote w:type="continuationSeparator" w:id="0">
    <w:p w:rsidR="00C4741D" w:rsidRDefault="00C4741D"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5E389E"/>
    <w:multiLevelType w:val="multilevel"/>
    <w:tmpl w:val="C986CDB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1"/>
  </w:num>
  <w:num w:numId="3">
    <w:abstractNumId w:val="2"/>
  </w:num>
  <w:num w:numId="4">
    <w:abstractNumId w:val="12"/>
  </w:num>
  <w:num w:numId="5">
    <w:abstractNumId w:val="25"/>
  </w:num>
  <w:num w:numId="6">
    <w:abstractNumId w:val="6"/>
  </w:num>
  <w:num w:numId="7">
    <w:abstractNumId w:val="8"/>
  </w:num>
  <w:num w:numId="8">
    <w:abstractNumId w:val="16"/>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3"/>
  </w:num>
  <w:num w:numId="18">
    <w:abstractNumId w:val="26"/>
  </w:num>
  <w:num w:numId="19">
    <w:abstractNumId w:val="20"/>
  </w:num>
  <w:num w:numId="20">
    <w:abstractNumId w:val="9"/>
  </w:num>
  <w:num w:numId="21">
    <w:abstractNumId w:val="14"/>
  </w:num>
  <w:num w:numId="22">
    <w:abstractNumId w:val="0"/>
  </w:num>
  <w:num w:numId="23">
    <w:abstractNumId w:val="24"/>
  </w:num>
  <w:num w:numId="24">
    <w:abstractNumId w:val="17"/>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2"/>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137BF"/>
    <w:rsid w:val="00031DCB"/>
    <w:rsid w:val="00047138"/>
    <w:rsid w:val="00050916"/>
    <w:rsid w:val="0005617B"/>
    <w:rsid w:val="00067D21"/>
    <w:rsid w:val="000764F0"/>
    <w:rsid w:val="000963E6"/>
    <w:rsid w:val="000A5BE4"/>
    <w:rsid w:val="000B647E"/>
    <w:rsid w:val="000C3E72"/>
    <w:rsid w:val="000D14FB"/>
    <w:rsid w:val="000D2FDF"/>
    <w:rsid w:val="000E2A6F"/>
    <w:rsid w:val="000E43FD"/>
    <w:rsid w:val="000F4C38"/>
    <w:rsid w:val="00101B85"/>
    <w:rsid w:val="001059F8"/>
    <w:rsid w:val="001112CD"/>
    <w:rsid w:val="001212DB"/>
    <w:rsid w:val="0012607D"/>
    <w:rsid w:val="00131C5F"/>
    <w:rsid w:val="0014564C"/>
    <w:rsid w:val="00150112"/>
    <w:rsid w:val="001605F0"/>
    <w:rsid w:val="00162048"/>
    <w:rsid w:val="00164001"/>
    <w:rsid w:val="00170837"/>
    <w:rsid w:val="001826C6"/>
    <w:rsid w:val="0018775B"/>
    <w:rsid w:val="001A551C"/>
    <w:rsid w:val="001B0AB5"/>
    <w:rsid w:val="001B65D9"/>
    <w:rsid w:val="001B7365"/>
    <w:rsid w:val="001B79AA"/>
    <w:rsid w:val="001B7EC4"/>
    <w:rsid w:val="001C0F4B"/>
    <w:rsid w:val="001C4395"/>
    <w:rsid w:val="001C52EC"/>
    <w:rsid w:val="001D6729"/>
    <w:rsid w:val="001E5A04"/>
    <w:rsid w:val="001F74D4"/>
    <w:rsid w:val="00215420"/>
    <w:rsid w:val="00216141"/>
    <w:rsid w:val="00223464"/>
    <w:rsid w:val="00227F1E"/>
    <w:rsid w:val="0025378E"/>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06799"/>
    <w:rsid w:val="00340454"/>
    <w:rsid w:val="003567F5"/>
    <w:rsid w:val="003711D8"/>
    <w:rsid w:val="00372C94"/>
    <w:rsid w:val="003758DB"/>
    <w:rsid w:val="0038444E"/>
    <w:rsid w:val="003E1282"/>
    <w:rsid w:val="003E1A19"/>
    <w:rsid w:val="00414863"/>
    <w:rsid w:val="00420B77"/>
    <w:rsid w:val="00434983"/>
    <w:rsid w:val="00443CEE"/>
    <w:rsid w:val="00456BD0"/>
    <w:rsid w:val="00462832"/>
    <w:rsid w:val="00472178"/>
    <w:rsid w:val="004757BE"/>
    <w:rsid w:val="00477682"/>
    <w:rsid w:val="0048002C"/>
    <w:rsid w:val="004833D7"/>
    <w:rsid w:val="00486E12"/>
    <w:rsid w:val="00491429"/>
    <w:rsid w:val="00495F4B"/>
    <w:rsid w:val="004A169C"/>
    <w:rsid w:val="004A4C66"/>
    <w:rsid w:val="004B1AD1"/>
    <w:rsid w:val="004C6A59"/>
    <w:rsid w:val="004E098C"/>
    <w:rsid w:val="004E5B8C"/>
    <w:rsid w:val="004E7FA4"/>
    <w:rsid w:val="004F2F89"/>
    <w:rsid w:val="0050574E"/>
    <w:rsid w:val="00510D12"/>
    <w:rsid w:val="00512AB0"/>
    <w:rsid w:val="00530B04"/>
    <w:rsid w:val="0053367F"/>
    <w:rsid w:val="0054499D"/>
    <w:rsid w:val="00552032"/>
    <w:rsid w:val="00554E14"/>
    <w:rsid w:val="00564F66"/>
    <w:rsid w:val="00573D91"/>
    <w:rsid w:val="0057550A"/>
    <w:rsid w:val="0058122C"/>
    <w:rsid w:val="00583217"/>
    <w:rsid w:val="00587E8A"/>
    <w:rsid w:val="0059078C"/>
    <w:rsid w:val="005B2AD0"/>
    <w:rsid w:val="005B3EA0"/>
    <w:rsid w:val="005C56D2"/>
    <w:rsid w:val="005C694A"/>
    <w:rsid w:val="005C77B3"/>
    <w:rsid w:val="005D1FF7"/>
    <w:rsid w:val="005D3834"/>
    <w:rsid w:val="005D6A4D"/>
    <w:rsid w:val="005F2604"/>
    <w:rsid w:val="005F3467"/>
    <w:rsid w:val="00607265"/>
    <w:rsid w:val="0061216E"/>
    <w:rsid w:val="00625C5A"/>
    <w:rsid w:val="0062734E"/>
    <w:rsid w:val="00650309"/>
    <w:rsid w:val="006563B9"/>
    <w:rsid w:val="00673050"/>
    <w:rsid w:val="00675734"/>
    <w:rsid w:val="00690775"/>
    <w:rsid w:val="006A3577"/>
    <w:rsid w:val="006A3E2B"/>
    <w:rsid w:val="006C240A"/>
    <w:rsid w:val="006E5A3F"/>
    <w:rsid w:val="006F00CD"/>
    <w:rsid w:val="006F22CA"/>
    <w:rsid w:val="006F487B"/>
    <w:rsid w:val="006F5B4B"/>
    <w:rsid w:val="007014BD"/>
    <w:rsid w:val="0070364E"/>
    <w:rsid w:val="0070509B"/>
    <w:rsid w:val="00710F33"/>
    <w:rsid w:val="0071754C"/>
    <w:rsid w:val="00735FAD"/>
    <w:rsid w:val="00746B02"/>
    <w:rsid w:val="007504E4"/>
    <w:rsid w:val="00760E94"/>
    <w:rsid w:val="00777EF5"/>
    <w:rsid w:val="00785799"/>
    <w:rsid w:val="007A37B3"/>
    <w:rsid w:val="007B0C55"/>
    <w:rsid w:val="007B2DE0"/>
    <w:rsid w:val="007B4B4F"/>
    <w:rsid w:val="007C134D"/>
    <w:rsid w:val="007D769C"/>
    <w:rsid w:val="007E04E1"/>
    <w:rsid w:val="007E4D98"/>
    <w:rsid w:val="008021F6"/>
    <w:rsid w:val="008021FA"/>
    <w:rsid w:val="0080507E"/>
    <w:rsid w:val="00813FF5"/>
    <w:rsid w:val="00817B15"/>
    <w:rsid w:val="00820C42"/>
    <w:rsid w:val="00834C01"/>
    <w:rsid w:val="00837136"/>
    <w:rsid w:val="00852D3F"/>
    <w:rsid w:val="00860866"/>
    <w:rsid w:val="00862B63"/>
    <w:rsid w:val="00864D5C"/>
    <w:rsid w:val="0086536A"/>
    <w:rsid w:val="00873F1A"/>
    <w:rsid w:val="008850BD"/>
    <w:rsid w:val="00885139"/>
    <w:rsid w:val="00893F18"/>
    <w:rsid w:val="008A2BF2"/>
    <w:rsid w:val="008A6E4E"/>
    <w:rsid w:val="008B28B5"/>
    <w:rsid w:val="008B62A9"/>
    <w:rsid w:val="008B65C3"/>
    <w:rsid w:val="008B758A"/>
    <w:rsid w:val="008D0965"/>
    <w:rsid w:val="008D74C2"/>
    <w:rsid w:val="008E1F7A"/>
    <w:rsid w:val="008E5A0F"/>
    <w:rsid w:val="008F694E"/>
    <w:rsid w:val="008F7F4A"/>
    <w:rsid w:val="009024CF"/>
    <w:rsid w:val="00907A1D"/>
    <w:rsid w:val="00913830"/>
    <w:rsid w:val="009260BE"/>
    <w:rsid w:val="00944B42"/>
    <w:rsid w:val="009516B1"/>
    <w:rsid w:val="00974502"/>
    <w:rsid w:val="00975F0F"/>
    <w:rsid w:val="00977DA4"/>
    <w:rsid w:val="009800B5"/>
    <w:rsid w:val="0098212D"/>
    <w:rsid w:val="0099040C"/>
    <w:rsid w:val="009912C5"/>
    <w:rsid w:val="009938DB"/>
    <w:rsid w:val="00993FF5"/>
    <w:rsid w:val="009943E7"/>
    <w:rsid w:val="00995F60"/>
    <w:rsid w:val="009A7D0D"/>
    <w:rsid w:val="009C3DEE"/>
    <w:rsid w:val="009E0ADF"/>
    <w:rsid w:val="009E7861"/>
    <w:rsid w:val="00A02CEF"/>
    <w:rsid w:val="00A05A9B"/>
    <w:rsid w:val="00A21E24"/>
    <w:rsid w:val="00A2448C"/>
    <w:rsid w:val="00A31326"/>
    <w:rsid w:val="00A3198F"/>
    <w:rsid w:val="00A33B3E"/>
    <w:rsid w:val="00A36CBB"/>
    <w:rsid w:val="00A500DF"/>
    <w:rsid w:val="00A50FF6"/>
    <w:rsid w:val="00A512D1"/>
    <w:rsid w:val="00A577B0"/>
    <w:rsid w:val="00A60038"/>
    <w:rsid w:val="00A75D1A"/>
    <w:rsid w:val="00A85D3B"/>
    <w:rsid w:val="00AC10C6"/>
    <w:rsid w:val="00AC5D53"/>
    <w:rsid w:val="00AC6813"/>
    <w:rsid w:val="00AC6DEC"/>
    <w:rsid w:val="00AD2774"/>
    <w:rsid w:val="00AF17B1"/>
    <w:rsid w:val="00AF2012"/>
    <w:rsid w:val="00B037CB"/>
    <w:rsid w:val="00B0502B"/>
    <w:rsid w:val="00B2405F"/>
    <w:rsid w:val="00B27718"/>
    <w:rsid w:val="00B36A61"/>
    <w:rsid w:val="00B36BEE"/>
    <w:rsid w:val="00B50A18"/>
    <w:rsid w:val="00B55A52"/>
    <w:rsid w:val="00B6171B"/>
    <w:rsid w:val="00B71780"/>
    <w:rsid w:val="00B728AE"/>
    <w:rsid w:val="00B81D76"/>
    <w:rsid w:val="00BB5355"/>
    <w:rsid w:val="00BC49B7"/>
    <w:rsid w:val="00BC4E3D"/>
    <w:rsid w:val="00BD3B95"/>
    <w:rsid w:val="00BD43F1"/>
    <w:rsid w:val="00BE111E"/>
    <w:rsid w:val="00BE1DD5"/>
    <w:rsid w:val="00BE4F10"/>
    <w:rsid w:val="00BF5B50"/>
    <w:rsid w:val="00C059A8"/>
    <w:rsid w:val="00C17435"/>
    <w:rsid w:val="00C22FA3"/>
    <w:rsid w:val="00C323FE"/>
    <w:rsid w:val="00C4741D"/>
    <w:rsid w:val="00C51E27"/>
    <w:rsid w:val="00C6507F"/>
    <w:rsid w:val="00C7085D"/>
    <w:rsid w:val="00C76659"/>
    <w:rsid w:val="00C855FE"/>
    <w:rsid w:val="00C86290"/>
    <w:rsid w:val="00C947F1"/>
    <w:rsid w:val="00C95525"/>
    <w:rsid w:val="00CA5519"/>
    <w:rsid w:val="00CB46BE"/>
    <w:rsid w:val="00CB48C7"/>
    <w:rsid w:val="00CE1602"/>
    <w:rsid w:val="00CE1E17"/>
    <w:rsid w:val="00CE47C2"/>
    <w:rsid w:val="00CF009E"/>
    <w:rsid w:val="00D07E05"/>
    <w:rsid w:val="00D17484"/>
    <w:rsid w:val="00D2108B"/>
    <w:rsid w:val="00D250B5"/>
    <w:rsid w:val="00D3141D"/>
    <w:rsid w:val="00D44A03"/>
    <w:rsid w:val="00D52F4A"/>
    <w:rsid w:val="00D931D3"/>
    <w:rsid w:val="00D96628"/>
    <w:rsid w:val="00D96D0F"/>
    <w:rsid w:val="00DB1505"/>
    <w:rsid w:val="00DC272E"/>
    <w:rsid w:val="00DC5D0C"/>
    <w:rsid w:val="00DC775F"/>
    <w:rsid w:val="00DD656A"/>
    <w:rsid w:val="00DD692D"/>
    <w:rsid w:val="00DD70FC"/>
    <w:rsid w:val="00DE4CD9"/>
    <w:rsid w:val="00E0326A"/>
    <w:rsid w:val="00E05C9C"/>
    <w:rsid w:val="00E06E25"/>
    <w:rsid w:val="00E06FBD"/>
    <w:rsid w:val="00E10228"/>
    <w:rsid w:val="00E228DD"/>
    <w:rsid w:val="00E24D06"/>
    <w:rsid w:val="00E400E2"/>
    <w:rsid w:val="00E46A7E"/>
    <w:rsid w:val="00E569B3"/>
    <w:rsid w:val="00E66557"/>
    <w:rsid w:val="00E73C98"/>
    <w:rsid w:val="00E76CDA"/>
    <w:rsid w:val="00E81B57"/>
    <w:rsid w:val="00E843B9"/>
    <w:rsid w:val="00E94408"/>
    <w:rsid w:val="00EA75BF"/>
    <w:rsid w:val="00EB1A63"/>
    <w:rsid w:val="00EB5C92"/>
    <w:rsid w:val="00EE1C6C"/>
    <w:rsid w:val="00EE3A81"/>
    <w:rsid w:val="00EE3DEF"/>
    <w:rsid w:val="00F02CC9"/>
    <w:rsid w:val="00F11719"/>
    <w:rsid w:val="00F34E0D"/>
    <w:rsid w:val="00F35E44"/>
    <w:rsid w:val="00F379FC"/>
    <w:rsid w:val="00F57910"/>
    <w:rsid w:val="00F63AF4"/>
    <w:rsid w:val="00F648B1"/>
    <w:rsid w:val="00F7285A"/>
    <w:rsid w:val="00F768A4"/>
    <w:rsid w:val="00F94EFD"/>
    <w:rsid w:val="00F95000"/>
    <w:rsid w:val="00F96F46"/>
    <w:rsid w:val="00FB09C8"/>
    <w:rsid w:val="00FD5615"/>
    <w:rsid w:val="00FD7A28"/>
    <w:rsid w:val="00FE1001"/>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923419907">
      <w:bodyDiv w:val="1"/>
      <w:marLeft w:val="0"/>
      <w:marRight w:val="0"/>
      <w:marTop w:val="0"/>
      <w:marBottom w:val="0"/>
      <w:divBdr>
        <w:top w:val="none" w:sz="0" w:space="0" w:color="auto"/>
        <w:left w:val="none" w:sz="0" w:space="0" w:color="auto"/>
        <w:bottom w:val="none" w:sz="0" w:space="0" w:color="auto"/>
        <w:right w:val="none" w:sz="0" w:space="0" w:color="auto"/>
      </w:divBdr>
      <w:divsChild>
        <w:div w:id="1290090495">
          <w:marLeft w:val="0"/>
          <w:marRight w:val="0"/>
          <w:marTop w:val="0"/>
          <w:marBottom w:val="0"/>
          <w:divBdr>
            <w:top w:val="none" w:sz="0" w:space="0" w:color="auto"/>
            <w:left w:val="none" w:sz="0" w:space="0" w:color="auto"/>
            <w:bottom w:val="none" w:sz="0" w:space="0" w:color="auto"/>
            <w:right w:val="none" w:sz="0" w:space="0" w:color="auto"/>
          </w:divBdr>
        </w:div>
        <w:div w:id="1459181767">
          <w:marLeft w:val="0"/>
          <w:marRight w:val="0"/>
          <w:marTop w:val="0"/>
          <w:marBottom w:val="0"/>
          <w:divBdr>
            <w:top w:val="none" w:sz="0" w:space="0" w:color="auto"/>
            <w:left w:val="none" w:sz="0" w:space="0" w:color="auto"/>
            <w:bottom w:val="none" w:sz="0" w:space="0" w:color="auto"/>
            <w:right w:val="none" w:sz="0" w:space="0" w:color="auto"/>
          </w:divBdr>
        </w:div>
        <w:div w:id="1983658083">
          <w:marLeft w:val="0"/>
          <w:marRight w:val="0"/>
          <w:marTop w:val="0"/>
          <w:marBottom w:val="0"/>
          <w:divBdr>
            <w:top w:val="none" w:sz="0" w:space="0" w:color="auto"/>
            <w:left w:val="none" w:sz="0" w:space="0" w:color="auto"/>
            <w:bottom w:val="none" w:sz="0" w:space="0" w:color="auto"/>
            <w:right w:val="none" w:sz="0" w:space="0" w:color="auto"/>
          </w:divBdr>
        </w:div>
        <w:div w:id="1038628820">
          <w:marLeft w:val="0"/>
          <w:marRight w:val="0"/>
          <w:marTop w:val="0"/>
          <w:marBottom w:val="0"/>
          <w:divBdr>
            <w:top w:val="none" w:sz="0" w:space="0" w:color="auto"/>
            <w:left w:val="none" w:sz="0" w:space="0" w:color="auto"/>
            <w:bottom w:val="none" w:sz="0" w:space="0" w:color="auto"/>
            <w:right w:val="none" w:sz="0" w:space="0" w:color="auto"/>
          </w:divBdr>
        </w:div>
        <w:div w:id="1660770474">
          <w:marLeft w:val="0"/>
          <w:marRight w:val="0"/>
          <w:marTop w:val="0"/>
          <w:marBottom w:val="0"/>
          <w:divBdr>
            <w:top w:val="none" w:sz="0" w:space="0" w:color="auto"/>
            <w:left w:val="none" w:sz="0" w:space="0" w:color="auto"/>
            <w:bottom w:val="none" w:sz="0" w:space="0" w:color="auto"/>
            <w:right w:val="none" w:sz="0" w:space="0" w:color="auto"/>
          </w:divBdr>
        </w:div>
        <w:div w:id="503324719">
          <w:marLeft w:val="0"/>
          <w:marRight w:val="0"/>
          <w:marTop w:val="0"/>
          <w:marBottom w:val="0"/>
          <w:divBdr>
            <w:top w:val="none" w:sz="0" w:space="0" w:color="auto"/>
            <w:left w:val="none" w:sz="0" w:space="0" w:color="auto"/>
            <w:bottom w:val="none" w:sz="0" w:space="0" w:color="auto"/>
            <w:right w:val="none" w:sz="0" w:space="0" w:color="auto"/>
          </w:divBdr>
        </w:div>
      </w:divsChild>
    </w:div>
    <w:div w:id="1060783369">
      <w:bodyDiv w:val="1"/>
      <w:marLeft w:val="0"/>
      <w:marRight w:val="0"/>
      <w:marTop w:val="0"/>
      <w:marBottom w:val="0"/>
      <w:divBdr>
        <w:top w:val="none" w:sz="0" w:space="0" w:color="auto"/>
        <w:left w:val="none" w:sz="0" w:space="0" w:color="auto"/>
        <w:bottom w:val="none" w:sz="0" w:space="0" w:color="auto"/>
        <w:right w:val="none" w:sz="0" w:space="0" w:color="auto"/>
      </w:divBdr>
      <w:divsChild>
        <w:div w:id="669987185">
          <w:marLeft w:val="0"/>
          <w:marRight w:val="0"/>
          <w:marTop w:val="0"/>
          <w:marBottom w:val="0"/>
          <w:divBdr>
            <w:top w:val="none" w:sz="0" w:space="0" w:color="auto"/>
            <w:left w:val="none" w:sz="0" w:space="0" w:color="auto"/>
            <w:bottom w:val="none" w:sz="0" w:space="0" w:color="auto"/>
            <w:right w:val="none" w:sz="0" w:space="0" w:color="auto"/>
          </w:divBdr>
        </w:div>
        <w:div w:id="1211770246">
          <w:marLeft w:val="0"/>
          <w:marRight w:val="0"/>
          <w:marTop w:val="0"/>
          <w:marBottom w:val="0"/>
          <w:divBdr>
            <w:top w:val="none" w:sz="0" w:space="0" w:color="auto"/>
            <w:left w:val="none" w:sz="0" w:space="0" w:color="auto"/>
            <w:bottom w:val="none" w:sz="0" w:space="0" w:color="auto"/>
            <w:right w:val="none" w:sz="0" w:space="0" w:color="auto"/>
          </w:divBdr>
        </w:div>
        <w:div w:id="616913838">
          <w:marLeft w:val="0"/>
          <w:marRight w:val="0"/>
          <w:marTop w:val="0"/>
          <w:marBottom w:val="0"/>
          <w:divBdr>
            <w:top w:val="none" w:sz="0" w:space="0" w:color="auto"/>
            <w:left w:val="none" w:sz="0" w:space="0" w:color="auto"/>
            <w:bottom w:val="none" w:sz="0" w:space="0" w:color="auto"/>
            <w:right w:val="none" w:sz="0" w:space="0" w:color="auto"/>
          </w:divBdr>
        </w:div>
      </w:divsChild>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426153625">
      <w:bodyDiv w:val="1"/>
      <w:marLeft w:val="0"/>
      <w:marRight w:val="0"/>
      <w:marTop w:val="0"/>
      <w:marBottom w:val="0"/>
      <w:divBdr>
        <w:top w:val="none" w:sz="0" w:space="0" w:color="auto"/>
        <w:left w:val="none" w:sz="0" w:space="0" w:color="auto"/>
        <w:bottom w:val="none" w:sz="0" w:space="0" w:color="auto"/>
        <w:right w:val="none" w:sz="0" w:space="0" w:color="auto"/>
      </w:divBdr>
      <w:divsChild>
        <w:div w:id="705909909">
          <w:marLeft w:val="0"/>
          <w:marRight w:val="0"/>
          <w:marTop w:val="0"/>
          <w:marBottom w:val="0"/>
          <w:divBdr>
            <w:top w:val="none" w:sz="0" w:space="0" w:color="auto"/>
            <w:left w:val="none" w:sz="0" w:space="0" w:color="auto"/>
            <w:bottom w:val="none" w:sz="0" w:space="0" w:color="auto"/>
            <w:right w:val="none" w:sz="0" w:space="0" w:color="auto"/>
          </w:divBdr>
        </w:div>
        <w:div w:id="190920261">
          <w:marLeft w:val="0"/>
          <w:marRight w:val="0"/>
          <w:marTop w:val="0"/>
          <w:marBottom w:val="0"/>
          <w:divBdr>
            <w:top w:val="none" w:sz="0" w:space="0" w:color="auto"/>
            <w:left w:val="none" w:sz="0" w:space="0" w:color="auto"/>
            <w:bottom w:val="none" w:sz="0" w:space="0" w:color="auto"/>
            <w:right w:val="none" w:sz="0" w:space="0" w:color="auto"/>
          </w:divBdr>
        </w:div>
        <w:div w:id="491066478">
          <w:marLeft w:val="0"/>
          <w:marRight w:val="0"/>
          <w:marTop w:val="0"/>
          <w:marBottom w:val="0"/>
          <w:divBdr>
            <w:top w:val="none" w:sz="0" w:space="0" w:color="auto"/>
            <w:left w:val="none" w:sz="0" w:space="0" w:color="auto"/>
            <w:bottom w:val="none" w:sz="0" w:space="0" w:color="auto"/>
            <w:right w:val="none" w:sz="0" w:space="0" w:color="auto"/>
          </w:divBdr>
        </w:div>
        <w:div w:id="1477185829">
          <w:marLeft w:val="0"/>
          <w:marRight w:val="0"/>
          <w:marTop w:val="0"/>
          <w:marBottom w:val="0"/>
          <w:divBdr>
            <w:top w:val="none" w:sz="0" w:space="0" w:color="auto"/>
            <w:left w:val="none" w:sz="0" w:space="0" w:color="auto"/>
            <w:bottom w:val="none" w:sz="0" w:space="0" w:color="auto"/>
            <w:right w:val="none" w:sz="0" w:space="0" w:color="auto"/>
          </w:divBdr>
        </w:div>
        <w:div w:id="1420518179">
          <w:marLeft w:val="0"/>
          <w:marRight w:val="0"/>
          <w:marTop w:val="0"/>
          <w:marBottom w:val="0"/>
          <w:divBdr>
            <w:top w:val="none" w:sz="0" w:space="0" w:color="auto"/>
            <w:left w:val="none" w:sz="0" w:space="0" w:color="auto"/>
            <w:bottom w:val="none" w:sz="0" w:space="0" w:color="auto"/>
            <w:right w:val="none" w:sz="0" w:space="0" w:color="auto"/>
          </w:divBdr>
        </w:div>
        <w:div w:id="1255360379">
          <w:marLeft w:val="0"/>
          <w:marRight w:val="0"/>
          <w:marTop w:val="0"/>
          <w:marBottom w:val="0"/>
          <w:divBdr>
            <w:top w:val="none" w:sz="0" w:space="0" w:color="auto"/>
            <w:left w:val="none" w:sz="0" w:space="0" w:color="auto"/>
            <w:bottom w:val="none" w:sz="0" w:space="0" w:color="auto"/>
            <w:right w:val="none" w:sz="0" w:space="0" w:color="auto"/>
          </w:divBdr>
        </w:div>
      </w:divsChild>
    </w:div>
    <w:div w:id="1643921598">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 w:id="20395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D9E4-38BD-4A3B-B0A5-429C9FDA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4</Pages>
  <Words>19269</Words>
  <Characters>109838</Characters>
  <Application>Microsoft Office Word</Application>
  <DocSecurity>0</DocSecurity>
  <Lines>915</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cp:lastModifiedBy>
  <cp:revision>74</cp:revision>
  <cp:lastPrinted>2023-10-02T15:18:00Z</cp:lastPrinted>
  <dcterms:created xsi:type="dcterms:W3CDTF">2023-08-29T14:41:00Z</dcterms:created>
  <dcterms:modified xsi:type="dcterms:W3CDTF">2023-12-18T08:39:00Z</dcterms:modified>
</cp:coreProperties>
</file>