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lang w:eastAsia="zh-CN"/>
        </w:rPr>
      </w:pPr>
      <w:r>
        <w:rPr>
          <w:b/>
          <w:bCs/>
          <w:i/>
          <w:iCs/>
          <w:lang w:eastAsia="zh-CN"/>
        </w:rPr>
        <w:t>Додаток 3</w:t>
      </w:r>
      <w:r>
        <w:rPr>
          <w:lang w:eastAsia="zh-CN"/>
        </w:rPr>
        <w:t xml:space="preserve"> </w:t>
      </w:r>
    </w:p>
    <w:p>
      <w:pPr>
        <w:pStyle w:val="Normal"/>
        <w:jc w:val="right"/>
        <w:rPr>
          <w:lang w:eastAsia="zh-CN"/>
        </w:rPr>
      </w:pPr>
      <w:r>
        <w:rPr>
          <w:lang w:eastAsia="zh-CN"/>
        </w:rPr>
        <w:t>до тендерної документації</w:t>
      </w:r>
    </w:p>
    <w:p>
      <w:pPr>
        <w:pStyle w:val="Normal"/>
        <w:jc w:val="left"/>
        <w:rPr>
          <w:rFonts w:eastAsia="Arial"/>
          <w:sz w:val="24"/>
          <w:szCs w:val="24"/>
          <w:lang w:eastAsia="zh-CN"/>
        </w:rPr>
      </w:pPr>
      <w:r>
        <w:rPr>
          <w:rFonts w:eastAsia="Arial"/>
          <w:sz w:val="24"/>
          <w:szCs w:val="24"/>
          <w:lang w:eastAsia="zh-CN"/>
        </w:rPr>
      </w:r>
    </w:p>
    <w:p>
      <w:pPr>
        <w:pStyle w:val="Normal"/>
        <w:widowControl w:val="false"/>
        <w:suppressAutoHyphens w:val="true"/>
        <w:spacing w:lineRule="atLeast" w:line="100"/>
        <w:ind w:firstLine="709"/>
        <w:jc w:val="center"/>
        <w:rPr>
          <w:rFonts w:eastAsia="Times New Roman"/>
          <w:b/>
          <w:b/>
          <w:kern w:val="2"/>
          <w:sz w:val="24"/>
          <w:szCs w:val="24"/>
          <w:shd w:fill="FFFFFA" w:val="clear"/>
          <w:lang w:eastAsia="hi-IN" w:bidi="hi-IN"/>
        </w:rPr>
      </w:pPr>
      <w:r>
        <w:rPr>
          <w:rFonts w:eastAsia="Times New Roman"/>
          <w:b/>
          <w:kern w:val="2"/>
          <w:sz w:val="24"/>
          <w:szCs w:val="24"/>
          <w:shd w:fill="FFFFFA" w:val="clear"/>
          <w:lang w:eastAsia="hi-IN" w:bidi="hi-IN"/>
        </w:rPr>
        <w:t>Інформація про технічні, якісні та кількісні характеристики предмета закупівлі</w:t>
      </w:r>
    </w:p>
    <w:p>
      <w:pPr>
        <w:pStyle w:val="Normal"/>
        <w:widowControl w:val="false"/>
        <w:suppressAutoHyphens w:val="true"/>
        <w:spacing w:lineRule="atLeast" w:line="100"/>
        <w:ind w:firstLine="709"/>
        <w:jc w:val="center"/>
        <w:rPr>
          <w:rFonts w:eastAsia="Times New Roman"/>
          <w:b/>
          <w:b/>
          <w:kern w:val="2"/>
          <w:sz w:val="24"/>
          <w:szCs w:val="24"/>
          <w:shd w:fill="FFFFFA" w:val="clear"/>
          <w:lang w:eastAsia="hi-IN" w:bidi="hi-IN"/>
        </w:rPr>
      </w:pPr>
      <w:r>
        <w:rPr>
          <w:rFonts w:eastAsia="Times New Roman"/>
          <w:b/>
          <w:kern w:val="2"/>
          <w:sz w:val="24"/>
          <w:szCs w:val="24"/>
          <w:shd w:fill="FFFFFA" w:val="clear"/>
          <w:lang w:eastAsia="hi-IN" w:bidi="hi-IN"/>
        </w:rPr>
      </w:r>
    </w:p>
    <w:p>
      <w:pPr>
        <w:pStyle w:val="Normal"/>
        <w:widowControl w:val="false"/>
        <w:suppressAutoHyphens w:val="true"/>
        <w:spacing w:lineRule="atLeast" w:line="100"/>
        <w:ind w:firstLine="709"/>
        <w:jc w:val="center"/>
        <w:rPr>
          <w:rFonts w:eastAsia="Times New Roman"/>
          <w:b/>
          <w:b/>
          <w:kern w:val="2"/>
          <w:sz w:val="24"/>
          <w:szCs w:val="24"/>
          <w:shd w:fill="FFFFFA" w:val="clear"/>
          <w:lang w:eastAsia="hi-IN" w:bidi="hi-IN"/>
        </w:rPr>
      </w:pPr>
      <w:r>
        <w:rPr>
          <w:rFonts w:eastAsia="Times New Roman"/>
          <w:b/>
          <w:kern w:val="2"/>
          <w:sz w:val="24"/>
          <w:szCs w:val="24"/>
          <w:shd w:fill="FFFFFA" w:val="clear"/>
          <w:lang w:eastAsia="hi-IN" w:bidi="hi-IN"/>
        </w:rPr>
        <w:t>Предмет закупівлі</w:t>
      </w:r>
    </w:p>
    <w:p>
      <w:pPr>
        <w:pStyle w:val="Normal"/>
        <w:widowControl w:val="false"/>
        <w:suppressAutoHyphens w:val="true"/>
        <w:spacing w:lineRule="atLeast" w:line="100"/>
        <w:ind w:firstLine="709"/>
        <w:jc w:val="right"/>
        <w:rPr>
          <w:rFonts w:eastAsia="Times New Roman"/>
          <w:color w:val="FF0000"/>
          <w:kern w:val="2"/>
          <w:sz w:val="24"/>
          <w:szCs w:val="24"/>
          <w:shd w:fill="FFFFFA" w:val="clear"/>
          <w:lang w:eastAsia="hi-IN" w:bidi="hi-IN"/>
        </w:rPr>
      </w:pPr>
      <w:r>
        <w:rPr>
          <w:rFonts w:eastAsia="Times New Roman"/>
          <w:color w:val="FF0000"/>
          <w:kern w:val="2"/>
          <w:sz w:val="24"/>
          <w:szCs w:val="24"/>
          <w:shd w:fill="FFFFFA" w:val="clear"/>
          <w:lang w:eastAsia="hi-IN" w:bidi="hi-IN"/>
        </w:rPr>
      </w:r>
    </w:p>
    <w:p>
      <w:pPr>
        <w:pStyle w:val="Normal"/>
        <w:ind w:firstLine="708"/>
        <w:rPr>
          <w:rFonts w:eastAsia="Calibri"/>
          <w:sz w:val="24"/>
          <w:szCs w:val="24"/>
          <w:lang w:eastAsia="ru-RU"/>
        </w:rPr>
      </w:pPr>
      <w:r>
        <w:rPr>
          <w:rFonts w:eastAsia="Times New Roman"/>
          <w:b/>
          <w:sz w:val="24"/>
          <w:szCs w:val="24"/>
          <w:lang w:eastAsia="ru-RU"/>
        </w:rPr>
        <w:t>Найменування предмета закупівлі</w:t>
      </w:r>
      <w:r>
        <w:rPr>
          <w:rFonts w:eastAsia="Times New Roman"/>
          <w:color w:val="000000"/>
          <w:sz w:val="24"/>
          <w:szCs w:val="24"/>
          <w:lang w:eastAsia="ru-RU"/>
        </w:rPr>
        <w:t xml:space="preserve">: </w:t>
      </w:r>
      <w:r>
        <w:rPr>
          <w:rFonts w:eastAsia="Times New Roman" w:cs="Times New Roman"/>
          <w:b w:val="false"/>
          <w:bCs w:val="false"/>
          <w:color w:val="000000"/>
          <w:sz w:val="24"/>
          <w:szCs w:val="24"/>
          <w:lang w:val="uk-UA" w:eastAsia="ru-RU"/>
        </w:rPr>
        <w:t xml:space="preserve">Реактиви для гематологічного аналізатора Erba Elite 3 </w:t>
      </w:r>
      <w:r>
        <w:rPr>
          <w:rFonts w:eastAsia="Calibri"/>
          <w:b w:val="false"/>
          <w:bCs w:val="false"/>
          <w:color w:val="000000"/>
          <w:sz w:val="24"/>
          <w:szCs w:val="24"/>
          <w:lang w:eastAsia="ru-RU"/>
        </w:rPr>
        <w:t xml:space="preserve">за кодом </w:t>
      </w:r>
      <w:r>
        <w:rPr>
          <w:rFonts w:eastAsia="Calibri"/>
          <w:b w:val="false"/>
          <w:bCs w:val="false"/>
          <w:sz w:val="24"/>
          <w:szCs w:val="24"/>
          <w:lang w:eastAsia="ru-RU"/>
        </w:rPr>
        <w:t xml:space="preserve">ДК 021:2015:33690000-3 - </w:t>
      </w:r>
      <w:r>
        <w:rPr>
          <w:rFonts w:eastAsia="Times New Roman" w:cs="Times New Roman"/>
          <w:b w:val="false"/>
          <w:bCs w:val="false"/>
          <w:color w:val="000000"/>
          <w:sz w:val="24"/>
          <w:szCs w:val="24"/>
          <w:lang w:eastAsia="ru-RU"/>
        </w:rPr>
        <w:t>«</w:t>
      </w:r>
      <w:r>
        <w:rPr>
          <w:rFonts w:eastAsia="Calibri"/>
          <w:b w:val="false"/>
          <w:bCs w:val="false"/>
          <w:sz w:val="24"/>
          <w:szCs w:val="24"/>
          <w:lang w:eastAsia="ru-RU"/>
        </w:rPr>
        <w:t>Лікарські засоби різні</w:t>
      </w:r>
      <w:r>
        <w:rPr>
          <w:rFonts w:eastAsia="Times New Roman" w:cs="Times New Roman"/>
          <w:b w:val="false"/>
          <w:bCs w:val="false"/>
          <w:color w:val="000000"/>
          <w:sz w:val="24"/>
          <w:szCs w:val="24"/>
          <w:lang w:eastAsia="ru-RU"/>
        </w:rPr>
        <w:t>».</w:t>
      </w:r>
    </w:p>
    <w:p>
      <w:pPr>
        <w:pStyle w:val="Normal"/>
        <w:ind w:firstLine="708"/>
        <w:rPr>
          <w:b w:val="false"/>
          <w:b w:val="false"/>
          <w:bCs w:val="false"/>
          <w:sz w:val="24"/>
          <w:szCs w:val="24"/>
        </w:rPr>
      </w:pPr>
      <w:r>
        <w:rPr>
          <w:rFonts w:eastAsia="Times New Roman"/>
          <w:b w:val="false"/>
          <w:bCs w:val="false"/>
          <w:color w:val="000000"/>
          <w:sz w:val="24"/>
          <w:szCs w:val="24"/>
          <w:lang w:eastAsia="ru-RU"/>
        </w:rPr>
        <w:t xml:space="preserve">Місце постачання товару: </w:t>
      </w:r>
      <w:r>
        <w:rPr>
          <w:rFonts w:eastAsia="Calibri"/>
          <w:b w:val="false"/>
          <w:bCs w:val="false"/>
          <w:sz w:val="24"/>
          <w:szCs w:val="24"/>
          <w:lang w:eastAsia="ar-SA"/>
        </w:rPr>
        <w:t>вул. Чумаченка, буд. 21, м. Запоріжжя, Запорізька обл, Україна, 69104.</w:t>
      </w:r>
    </w:p>
    <w:p>
      <w:pPr>
        <w:pStyle w:val="Normal"/>
        <w:ind w:firstLine="708"/>
        <w:jc w:val="left"/>
        <w:rPr>
          <w:b w:val="false"/>
          <w:b w:val="false"/>
          <w:bCs w:val="false"/>
          <w:sz w:val="24"/>
          <w:szCs w:val="24"/>
        </w:rPr>
      </w:pPr>
      <w:r>
        <w:rPr>
          <w:rFonts w:eastAsia="Times New Roman"/>
          <w:b w:val="false"/>
          <w:bCs w:val="false"/>
          <w:sz w:val="24"/>
          <w:szCs w:val="24"/>
          <w:lang w:eastAsia="ru-RU"/>
        </w:rPr>
        <w:t>Строк постачання товару: до 31.12.2024 відповідно до заявок замовника</w:t>
      </w:r>
    </w:p>
    <w:p>
      <w:pPr>
        <w:pStyle w:val="Normal"/>
        <w:ind w:firstLine="708"/>
        <w:jc w:val="left"/>
        <w:rPr>
          <w:rFonts w:eastAsia="Times New Roman"/>
          <w:b w:val="false"/>
          <w:b w:val="false"/>
          <w:bCs w:val="false"/>
          <w:sz w:val="24"/>
          <w:szCs w:val="24"/>
          <w:lang w:eastAsia="ru-RU"/>
        </w:rPr>
      </w:pPr>
      <w:r>
        <w:rPr>
          <w:rFonts w:eastAsia="Times New Roman"/>
          <w:b w:val="false"/>
          <w:bCs w:val="false"/>
          <w:sz w:val="24"/>
          <w:szCs w:val="24"/>
          <w:lang w:eastAsia="ru-RU"/>
        </w:rPr>
      </w:r>
    </w:p>
    <w:p>
      <w:pPr>
        <w:pStyle w:val="Normal"/>
        <w:jc w:val="both"/>
        <w:rPr>
          <w:b w:val="false"/>
          <w:b w:val="false"/>
          <w:bCs w:val="false"/>
          <w:sz w:val="24"/>
          <w:szCs w:val="24"/>
        </w:rPr>
      </w:pPr>
      <w:r>
        <w:rPr>
          <w:rFonts w:eastAsia="Calibri"/>
          <w:b w:val="false"/>
          <w:bCs w:val="false"/>
          <w:sz w:val="24"/>
          <w:szCs w:val="24"/>
        </w:rPr>
        <w:t xml:space="preserve">Предмет закупівлі: </w:t>
      </w:r>
      <w:r>
        <w:rPr>
          <w:rFonts w:eastAsia="Times New Roman" w:cs="Times New Roman"/>
          <w:b w:val="false"/>
          <w:bCs w:val="false"/>
          <w:color w:val="000000"/>
          <w:sz w:val="24"/>
          <w:szCs w:val="24"/>
          <w:lang w:val="uk-UA" w:eastAsia="ru-RU"/>
        </w:rPr>
        <w:t>Реактиви для гематологічного аналізатора Erba Elite 3</w:t>
      </w:r>
      <w:r>
        <w:rPr>
          <w:rFonts w:eastAsia="Calibri"/>
          <w:b w:val="false"/>
          <w:bCs w:val="false"/>
          <w:color w:val="000000"/>
          <w:sz w:val="24"/>
          <w:szCs w:val="24"/>
          <w:lang w:eastAsia="ru-RU"/>
        </w:rPr>
        <w:t xml:space="preserve"> за кодом </w:t>
      </w:r>
      <w:r>
        <w:rPr>
          <w:rFonts w:eastAsia="Calibri"/>
          <w:b w:val="false"/>
          <w:bCs w:val="false"/>
          <w:sz w:val="24"/>
          <w:szCs w:val="24"/>
          <w:lang w:eastAsia="ru-RU"/>
        </w:rPr>
        <w:t xml:space="preserve">ДК 021:2015:33690000-3 - </w:t>
      </w:r>
      <w:r>
        <w:rPr>
          <w:rFonts w:eastAsia="Times New Roman" w:cs="Times New Roman"/>
          <w:b w:val="false"/>
          <w:bCs w:val="false"/>
          <w:color w:val="000000"/>
          <w:sz w:val="24"/>
          <w:szCs w:val="24"/>
          <w:lang w:eastAsia="ru-RU"/>
        </w:rPr>
        <w:t>«</w:t>
      </w:r>
      <w:r>
        <w:rPr>
          <w:rFonts w:eastAsia="Calibri"/>
          <w:b w:val="false"/>
          <w:bCs w:val="false"/>
          <w:sz w:val="24"/>
          <w:szCs w:val="24"/>
          <w:lang w:eastAsia="ru-RU"/>
        </w:rPr>
        <w:t>Лікарські засоби різні</w:t>
      </w:r>
      <w:r>
        <w:rPr>
          <w:rFonts w:eastAsia="Times New Roman" w:cs="Times New Roman"/>
          <w:b w:val="false"/>
          <w:bCs w:val="false"/>
          <w:color w:val="000000"/>
          <w:sz w:val="24"/>
          <w:szCs w:val="24"/>
          <w:lang w:eastAsia="ru-RU"/>
        </w:rPr>
        <w:t>».</w:t>
      </w:r>
    </w:p>
    <w:p>
      <w:pPr>
        <w:pStyle w:val="Normal"/>
        <w:jc w:val="both"/>
        <w:rPr>
          <w:rFonts w:ascii="Times New Roman" w:hAnsi="Times New Roman" w:eastAsia="Arial"/>
          <w:b w:val="false"/>
          <w:b w:val="false"/>
          <w:bCs w:val="false"/>
          <w:color w:val="000000"/>
          <w:sz w:val="24"/>
          <w:szCs w:val="24"/>
          <w:lang w:eastAsia="ru-RU"/>
        </w:rPr>
      </w:pPr>
      <w:r>
        <w:rPr>
          <w:rFonts w:eastAsia="Arial"/>
          <w:b w:val="false"/>
          <w:bCs w:val="false"/>
          <w:color w:val="000000"/>
          <w:sz w:val="24"/>
          <w:szCs w:val="24"/>
          <w:lang w:eastAsia="ru-RU"/>
        </w:rPr>
      </w:r>
    </w:p>
    <w:p>
      <w:pPr>
        <w:pStyle w:val="Normal"/>
        <w:suppressAutoHyphens w:val="true"/>
        <w:ind w:firstLine="708"/>
        <w:jc w:val="center"/>
        <w:rPr>
          <w:rFonts w:ascii="Times New Roman" w:hAnsi="Times New Roman"/>
          <w:b/>
          <w:b/>
          <w:bCs/>
          <w:i/>
          <w:i/>
          <w:caps/>
          <w:sz w:val="24"/>
          <w:szCs w:val="24"/>
        </w:rPr>
      </w:pPr>
      <w:r>
        <w:rPr>
          <w:rFonts w:eastAsia="Times New Roman" w:cs="Times New Roman"/>
          <w:b/>
          <w:i/>
          <w:sz w:val="24"/>
          <w:szCs w:val="24"/>
          <w:lang w:eastAsia="uk-UA"/>
        </w:rPr>
        <w:t xml:space="preserve">Медико-технічні вимоги </w:t>
      </w:r>
      <w:r>
        <w:rPr>
          <w:rFonts w:eastAsia="Times New Roman"/>
          <w:b/>
          <w:bCs/>
          <w:i/>
          <w:iCs/>
          <w:sz w:val="24"/>
          <w:szCs w:val="24"/>
          <w:lang w:eastAsia="uk-UA"/>
        </w:rPr>
        <w:t>до товару</w:t>
      </w:r>
    </w:p>
    <w:p>
      <w:pPr>
        <w:pStyle w:val="Normal"/>
        <w:tabs>
          <w:tab w:val="clear" w:pos="708"/>
          <w:tab w:val="left" w:pos="567" w:leader="none"/>
        </w:tabs>
        <w:suppressAutoHyphens w:val="true"/>
        <w:spacing w:lineRule="auto" w:line="240" w:before="0" w:after="0"/>
        <w:ind w:firstLine="708"/>
        <w:contextualSpacing/>
        <w:jc w:val="right"/>
        <w:rPr>
          <w:rFonts w:ascii="Times New Roman" w:hAnsi="Times New Roman" w:cs="Times New Roman"/>
          <w:i/>
          <w:i/>
        </w:rPr>
      </w:pPr>
      <w:r>
        <w:rPr>
          <w:rFonts w:eastAsia="Times New Roman" w:cs="Times New Roman"/>
          <w:b/>
          <w:bCs/>
          <w:i/>
          <w:iCs/>
          <w:sz w:val="24"/>
          <w:szCs w:val="24"/>
          <w:lang w:eastAsia="uk-UA"/>
        </w:rPr>
        <w:t>Таблиця 1</w:t>
      </w:r>
    </w:p>
    <w:tbl>
      <w:tblPr>
        <w:tblW w:w="10530" w:type="dxa"/>
        <w:jc w:val="center"/>
        <w:tblInd w:w="0" w:type="dxa"/>
        <w:tblLayout w:type="fixed"/>
        <w:tblCellMar>
          <w:top w:w="55" w:type="dxa"/>
          <w:left w:w="108" w:type="dxa"/>
          <w:bottom w:w="55" w:type="dxa"/>
          <w:right w:w="108" w:type="dxa"/>
        </w:tblCellMar>
        <w:tblLook w:firstRow="1" w:noVBand="0" w:lastRow="1" w:firstColumn="1" w:lastColumn="1" w:noHBand="0" w:val="01e0"/>
      </w:tblPr>
      <w:tblGrid>
        <w:gridCol w:w="388"/>
        <w:gridCol w:w="1877"/>
        <w:gridCol w:w="1755"/>
        <w:gridCol w:w="3418"/>
        <w:gridCol w:w="959"/>
        <w:gridCol w:w="1086"/>
        <w:gridCol w:w="1046"/>
      </w:tblGrid>
      <w:tr>
        <w:trPr>
          <w:trHeight w:val="873" w:hRule="atLeast"/>
        </w:trPr>
        <w:tc>
          <w:tcPr>
            <w:tcW w:w="388" w:type="dxa"/>
            <w:tcBorders>
              <w:top w:val="single" w:sz="4" w:space="0" w:color="000000"/>
              <w:left w:val="single" w:sz="4" w:space="0" w:color="000000"/>
              <w:bottom w:val="single" w:sz="4" w:space="0" w:color="000000"/>
            </w:tcBorders>
            <w:vAlign w:val="center"/>
          </w:tcPr>
          <w:p>
            <w:pPr>
              <w:pStyle w:val="Normal"/>
              <w:widowControl w:val="false"/>
              <w:suppressAutoHyphens w:val="true"/>
              <w:ind w:left="-182" w:right="-145" w:hanging="0"/>
              <w:jc w:val="center"/>
              <w:rPr>
                <w:b w:val="false"/>
                <w:b w:val="false"/>
                <w:bCs w:val="false"/>
              </w:rPr>
            </w:pPr>
            <w:r>
              <w:rPr>
                <w:rFonts w:eastAsia="Times New Roman"/>
                <w:b w:val="false"/>
                <w:bCs w:val="false"/>
                <w:sz w:val="20"/>
                <w:lang w:eastAsia="zh-CN"/>
              </w:rPr>
              <w:t>№</w:t>
            </w:r>
          </w:p>
          <w:p>
            <w:pPr>
              <w:pStyle w:val="Normal"/>
              <w:widowControl w:val="false"/>
              <w:suppressAutoHyphens w:val="true"/>
              <w:ind w:left="-182" w:right="-145" w:hanging="0"/>
              <w:jc w:val="center"/>
              <w:rPr>
                <w:b w:val="false"/>
                <w:b w:val="false"/>
                <w:bCs w:val="false"/>
              </w:rPr>
            </w:pPr>
            <w:r>
              <w:rPr>
                <w:rFonts w:eastAsia="Times New Roman"/>
                <w:b w:val="false"/>
                <w:bCs w:val="false"/>
                <w:sz w:val="20"/>
                <w:lang w:eastAsia="zh-CN"/>
              </w:rPr>
              <w:t>п\п</w:t>
            </w:r>
          </w:p>
        </w:tc>
        <w:tc>
          <w:tcPr>
            <w:tcW w:w="1877" w:type="dxa"/>
            <w:tcBorders>
              <w:top w:val="single" w:sz="4" w:space="0" w:color="000000"/>
              <w:left w:val="single" w:sz="4" w:space="0" w:color="000000"/>
              <w:bottom w:val="single" w:sz="4" w:space="0" w:color="000000"/>
            </w:tcBorders>
            <w:vAlign w:val="center"/>
          </w:tcPr>
          <w:p>
            <w:pPr>
              <w:pStyle w:val="Normal"/>
              <w:widowControl w:val="false"/>
              <w:suppressAutoHyphens w:val="true"/>
              <w:ind w:left="-182" w:right="-145" w:hanging="0"/>
              <w:jc w:val="center"/>
              <w:rPr>
                <w:b w:val="false"/>
                <w:b w:val="false"/>
                <w:bCs w:val="false"/>
              </w:rPr>
            </w:pPr>
            <w:r>
              <w:rPr>
                <w:rFonts w:eastAsia="Times New Roman"/>
                <w:b w:val="false"/>
                <w:bCs w:val="false"/>
                <w:sz w:val="20"/>
                <w:lang w:eastAsia="zh-CN"/>
              </w:rPr>
              <w:t>Найменування</w:t>
            </w:r>
          </w:p>
        </w:tc>
        <w:tc>
          <w:tcPr>
            <w:tcW w:w="1755" w:type="dxa"/>
            <w:tcBorders>
              <w:top w:val="single" w:sz="4" w:space="0" w:color="000000"/>
              <w:left w:val="single" w:sz="4" w:space="0" w:color="000000"/>
              <w:bottom w:val="single" w:sz="4" w:space="0" w:color="000000"/>
            </w:tcBorders>
            <w:vAlign w:val="center"/>
          </w:tcPr>
          <w:p>
            <w:pPr>
              <w:pStyle w:val="Normal"/>
              <w:widowControl w:val="false"/>
              <w:suppressAutoHyphens w:val="true"/>
              <w:jc w:val="center"/>
              <w:rPr>
                <w:b w:val="false"/>
                <w:b w:val="false"/>
                <w:bCs w:val="false"/>
              </w:rPr>
            </w:pPr>
            <w:r>
              <w:rPr>
                <w:rFonts w:eastAsia="Times New Roman"/>
                <w:b w:val="false"/>
                <w:bCs w:val="false"/>
                <w:color w:val="000000"/>
                <w:sz w:val="20"/>
                <w:lang w:eastAsia="zh-CN"/>
              </w:rPr>
              <w:t>Код НК 024:2019 «Класифікатор медичних виробів»</w:t>
            </w:r>
          </w:p>
        </w:tc>
        <w:tc>
          <w:tcPr>
            <w:tcW w:w="3418" w:type="dxa"/>
            <w:tcBorders>
              <w:top w:val="single" w:sz="4" w:space="0" w:color="000000"/>
              <w:left w:val="single" w:sz="4" w:space="0" w:color="000000"/>
              <w:bottom w:val="single" w:sz="4" w:space="0" w:color="000000"/>
            </w:tcBorders>
            <w:vAlign w:val="center"/>
          </w:tcPr>
          <w:p>
            <w:pPr>
              <w:pStyle w:val="Normal"/>
              <w:widowControl w:val="false"/>
              <w:suppressAutoHyphens w:val="true"/>
              <w:jc w:val="center"/>
              <w:rPr>
                <w:b w:val="false"/>
                <w:b w:val="false"/>
                <w:bCs w:val="false"/>
              </w:rPr>
            </w:pPr>
            <w:r>
              <w:rPr>
                <w:rFonts w:eastAsia="Times New Roman"/>
                <w:b w:val="false"/>
                <w:bCs w:val="false"/>
                <w:sz w:val="20"/>
                <w:lang w:eastAsia="zh-CN"/>
              </w:rPr>
              <w:t>Медико - технічні вимоги</w:t>
            </w:r>
          </w:p>
        </w:tc>
        <w:tc>
          <w:tcPr>
            <w:tcW w:w="959" w:type="dxa"/>
            <w:tcBorders>
              <w:top w:val="single" w:sz="4" w:space="0" w:color="000000"/>
              <w:left w:val="single" w:sz="4" w:space="0" w:color="000000"/>
              <w:bottom w:val="single" w:sz="4" w:space="0" w:color="000000"/>
            </w:tcBorders>
            <w:vAlign w:val="center"/>
          </w:tcPr>
          <w:p>
            <w:pPr>
              <w:pStyle w:val="Normal"/>
              <w:widowControl w:val="false"/>
              <w:suppressAutoHyphens w:val="true"/>
              <w:jc w:val="center"/>
              <w:rPr>
                <w:b w:val="false"/>
                <w:b w:val="false"/>
                <w:bCs w:val="false"/>
              </w:rPr>
            </w:pPr>
            <w:r>
              <w:rPr>
                <w:rFonts w:eastAsia="Times New Roman"/>
                <w:b w:val="false"/>
                <w:bCs w:val="false"/>
                <w:sz w:val="20"/>
                <w:lang w:eastAsia="zh-CN"/>
              </w:rPr>
              <w:t>Одиниці</w:t>
            </w:r>
          </w:p>
          <w:p>
            <w:pPr>
              <w:pStyle w:val="Normal"/>
              <w:widowControl w:val="false"/>
              <w:suppressAutoHyphens w:val="true"/>
              <w:jc w:val="center"/>
              <w:rPr>
                <w:b w:val="false"/>
                <w:b w:val="false"/>
                <w:bCs w:val="false"/>
              </w:rPr>
            </w:pPr>
            <w:r>
              <w:rPr>
                <w:rFonts w:eastAsia="Times New Roman"/>
                <w:b w:val="false"/>
                <w:bCs w:val="false"/>
                <w:sz w:val="20"/>
                <w:lang w:eastAsia="zh-CN"/>
              </w:rPr>
              <w:t>виміру</w:t>
            </w:r>
          </w:p>
        </w:tc>
        <w:tc>
          <w:tcPr>
            <w:tcW w:w="1086" w:type="dxa"/>
            <w:tcBorders>
              <w:top w:val="single" w:sz="4" w:space="0" w:color="000000"/>
              <w:left w:val="single" w:sz="4" w:space="0" w:color="000000"/>
              <w:bottom w:val="single" w:sz="4" w:space="0" w:color="000000"/>
            </w:tcBorders>
            <w:vAlign w:val="center"/>
          </w:tcPr>
          <w:p>
            <w:pPr>
              <w:pStyle w:val="Normal"/>
              <w:widowControl w:val="false"/>
              <w:suppressAutoHyphens w:val="true"/>
              <w:jc w:val="center"/>
              <w:rPr>
                <w:b w:val="false"/>
                <w:b w:val="false"/>
                <w:bCs w:val="false"/>
              </w:rPr>
            </w:pPr>
            <w:r>
              <w:rPr>
                <w:rFonts w:eastAsia="Times New Roman"/>
                <w:b w:val="false"/>
                <w:bCs w:val="false"/>
                <w:sz w:val="20"/>
                <w:lang w:eastAsia="zh-CN"/>
              </w:rPr>
              <w:t>Кількість</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b w:val="false"/>
                <w:b w:val="false"/>
                <w:bCs w:val="false"/>
              </w:rPr>
            </w:pPr>
            <w:r>
              <w:rPr>
                <w:rFonts w:eastAsia="Times New Roman"/>
                <w:b w:val="false"/>
                <w:bCs w:val="false"/>
                <w:sz w:val="20"/>
                <w:lang w:eastAsia="zh-CN"/>
              </w:rPr>
              <w:t>Відповід</w:t>
            </w:r>
          </w:p>
          <w:p>
            <w:pPr>
              <w:pStyle w:val="Normal"/>
              <w:widowControl w:val="false"/>
              <w:suppressAutoHyphens w:val="true"/>
              <w:jc w:val="center"/>
              <w:rPr>
                <w:b w:val="false"/>
                <w:b w:val="false"/>
                <w:bCs w:val="false"/>
              </w:rPr>
            </w:pPr>
            <w:r>
              <w:rPr>
                <w:rFonts w:eastAsia="Times New Roman"/>
                <w:b w:val="false"/>
                <w:bCs w:val="false"/>
                <w:sz w:val="20"/>
                <w:lang w:eastAsia="zh-CN"/>
              </w:rPr>
              <w:t>ність, так/ні</w:t>
            </w:r>
          </w:p>
        </w:tc>
      </w:tr>
      <w:tr>
        <w:trPr>
          <w:trHeight w:val="1398" w:hRule="atLeast"/>
        </w:trPr>
        <w:tc>
          <w:tcPr>
            <w:tcW w:w="388"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1</w:t>
            </w:r>
          </w:p>
        </w:tc>
        <w:tc>
          <w:tcPr>
            <w:tcW w:w="1877" w:type="dxa"/>
            <w:tcBorders>
              <w:left w:val="single" w:sz="4" w:space="0" w:color="000000"/>
              <w:bottom w:val="single" w:sz="4" w:space="0" w:color="000000"/>
            </w:tcBorders>
            <w:vAlign w:val="center"/>
          </w:tcPr>
          <w:p>
            <w:pPr>
              <w:pStyle w:val="Normal"/>
              <w:widowControl w:val="false"/>
              <w:spacing w:lineRule="auto" w:line="240" w:before="0" w:after="0"/>
              <w:jc w:val="both"/>
              <w:rPr>
                <w:rFonts w:eastAsia="Calibri"/>
                <w:sz w:val="20"/>
                <w:szCs w:val="20"/>
              </w:rPr>
            </w:pPr>
            <w:r>
              <w:rPr>
                <w:rFonts w:eastAsia="Calibri" w:cs="Times New Roman" w:ascii="Times New Roman;serif" w:hAnsi="Times New Roman;serif"/>
                <w:b/>
                <w:kern w:val="0"/>
                <w:sz w:val="20"/>
                <w:szCs w:val="20"/>
                <w:lang w:val="ru-RU" w:eastAsia="en-US" w:bidi="ar-SA"/>
              </w:rPr>
              <w:t>Розчин ділюента ERBA Diluent-Diff, 20 літрів</w:t>
            </w:r>
          </w:p>
        </w:tc>
        <w:tc>
          <w:tcPr>
            <w:tcW w:w="1755"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color w:val="000000"/>
                <w:kern w:val="0"/>
                <w:sz w:val="20"/>
                <w:szCs w:val="20"/>
                <w:lang w:val="ru-RU" w:eastAsia="en-US" w:bidi="ar-SA"/>
              </w:rPr>
            </w:pPr>
            <w:bookmarkStart w:id="0" w:name="additionalClassification_id03"/>
            <w:bookmarkEnd w:id="0"/>
            <w:r>
              <w:rPr>
                <w:rFonts w:eastAsia="Calibri" w:cs="Times New Roman"/>
                <w:b w:val="false"/>
                <w:i w:val="false"/>
                <w:caps w:val="false"/>
                <w:smallCaps w:val="false"/>
                <w:color w:val="000000"/>
                <w:spacing w:val="0"/>
                <w:kern w:val="0"/>
                <w:sz w:val="20"/>
                <w:szCs w:val="20"/>
                <w:lang w:val="ru-RU" w:eastAsia="en-US" w:bidi="ar-SA"/>
              </w:rPr>
              <w:t>42651</w:t>
            </w:r>
            <w:bookmarkStart w:id="1" w:name="additionalClassification_desc0"/>
            <w:bookmarkEnd w:id="1"/>
            <w:r>
              <w:rPr>
                <w:rFonts w:eastAsia="Calibri" w:cs="Times New Roman"/>
                <w:b w:val="false"/>
                <w:i w:val="false"/>
                <w:caps w:val="false"/>
                <w:smallCaps w:val="false"/>
                <w:color w:val="000000"/>
                <w:spacing w:val="0"/>
                <w:kern w:val="0"/>
                <w:sz w:val="20"/>
                <w:szCs w:val="20"/>
                <w:lang w:val="ru-RU" w:eastAsia="en-US" w:bidi="ar-SA"/>
              </w:rPr>
              <w:t xml:space="preserve"> - Буферний ізотонічний сольовий розчин, IVD (діагностика in vitro) </w:t>
            </w:r>
          </w:p>
        </w:tc>
        <w:tc>
          <w:tcPr>
            <w:tcW w:w="3418" w:type="dxa"/>
            <w:tcBorders>
              <w:left w:val="single" w:sz="4" w:space="0" w:color="000000"/>
              <w:bottom w:val="single" w:sz="4" w:space="0" w:color="000000"/>
            </w:tcBorders>
            <w:vAlign w:val="center"/>
          </w:tcPr>
          <w:p>
            <w:pPr>
              <w:pStyle w:val="Style19"/>
              <w:widowControl w:val="false"/>
              <w:spacing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kern w:val="0"/>
                <w:sz w:val="20"/>
                <w:szCs w:val="20"/>
                <w:lang w:eastAsia="ru-RU" w:bidi="ar-SA"/>
              </w:rPr>
              <w:t>Реагент має бути стабілізованим мікрофільтрованим буферним розчином електролітів, призначеним для автоматичного розведення зразків крові люди під час кількісного і якісного визначення вмісту еритроцитів (RBC), лейкоцитів (WBC) і їх субпопуляцій, тромбоцитів (PLT), а також визначення концентрації гемоглобіну (HGB) з використанням гематологічних аналізаторів.</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 xml:space="preserve">Склад реагенту: не гірше </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Натрію хлорид  &lt; 1,5 %</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Буфери              &lt; 1,0 %</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Консерванти      &lt; 0,5 %</w:t>
            </w:r>
          </w:p>
          <w:p>
            <w:pPr>
              <w:pStyle w:val="Style19"/>
              <w:widowControl w:val="false"/>
              <w:spacing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kern w:val="0"/>
                <w:sz w:val="20"/>
                <w:szCs w:val="20"/>
                <w:lang w:eastAsia="ru-RU" w:bidi="ar-SA"/>
              </w:rPr>
              <w:t>Стабілізатори       &lt; 0,5 %</w:t>
            </w:r>
          </w:p>
          <w:p>
            <w:pPr>
              <w:pStyle w:val="Style19"/>
              <w:widowControl w:val="false"/>
              <w:spacing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kern w:val="0"/>
                <w:sz w:val="20"/>
                <w:szCs w:val="20"/>
                <w:lang w:eastAsia="ru-RU" w:bidi="ar-SA"/>
              </w:rPr>
              <w:t>Повинен бути  безпечним для навколишнього</w:t>
              <w:br/>
              <w:t>середовища реагентом, який не містить азидів та інших шкідливих речовин.</w:t>
            </w:r>
          </w:p>
          <w:p>
            <w:pPr>
              <w:pStyle w:val="Style19"/>
              <w:widowControl w:val="false"/>
              <w:spacing w:before="0" w:after="0"/>
              <w:jc w:val="both"/>
              <w:rPr>
                <w:rFonts w:ascii="Times New Roman;serif" w:hAnsi="Times New Roman;serif"/>
                <w:b w:val="false"/>
                <w:b w:val="false"/>
                <w:bCs w:val="false"/>
                <w:sz w:val="20"/>
                <w:szCs w:val="20"/>
              </w:rPr>
            </w:pPr>
            <w:r>
              <w:rPr>
                <w:rFonts w:ascii="Times New Roman;serif" w:hAnsi="Times New Roman;serif"/>
                <w:b w:val="false"/>
                <w:bCs w:val="false"/>
                <w:sz w:val="20"/>
                <w:szCs w:val="20"/>
              </w:rPr>
              <w:t>Умови зберігання за температури +15 до +30 °C.</w:t>
            </w:r>
          </w:p>
          <w:p>
            <w:pPr>
              <w:pStyle w:val="Style19"/>
              <w:widowControl w:val="false"/>
              <w:spacing w:before="0" w:after="0"/>
              <w:jc w:val="both"/>
              <w:rPr>
                <w:rFonts w:ascii="Times New Roman;serif" w:hAnsi="Times New Roman;serif"/>
                <w:b w:val="false"/>
                <w:b w:val="false"/>
                <w:bCs w:val="false"/>
                <w:sz w:val="20"/>
                <w:szCs w:val="20"/>
              </w:rPr>
            </w:pPr>
            <w:r>
              <w:rPr>
                <w:rFonts w:ascii="Times New Roman;serif" w:hAnsi="Times New Roman;serif"/>
                <w:b w:val="false"/>
                <w:bCs w:val="false"/>
                <w:sz w:val="20"/>
                <w:szCs w:val="20"/>
              </w:rPr>
              <w:t>Фасування: не менше 20 л.</w:t>
            </w:r>
          </w:p>
        </w:tc>
        <w:tc>
          <w:tcPr>
            <w:tcW w:w="959"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шт</w:t>
            </w:r>
            <w:r>
              <w:rPr>
                <w:rFonts w:eastAsia="Times New Roman"/>
                <w:sz w:val="20"/>
                <w:lang w:val="ru-RU" w:eastAsia="zh-CN"/>
              </w:rPr>
              <w:t>.</w:t>
            </w:r>
          </w:p>
        </w:tc>
        <w:tc>
          <w:tcPr>
            <w:tcW w:w="1086"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t>36</w:t>
            </w:r>
          </w:p>
        </w:tc>
        <w:tc>
          <w:tcPr>
            <w:tcW w:w="1046" w:type="dxa"/>
            <w:tcBorders>
              <w:left w:val="single" w:sz="4" w:space="0" w:color="000000"/>
              <w:bottom w:val="single" w:sz="4" w:space="0" w:color="000000"/>
              <w:right w:val="single" w:sz="4" w:space="0" w:color="000000"/>
            </w:tcBorders>
          </w:tcPr>
          <w:p>
            <w:pPr>
              <w:pStyle w:val="Normal"/>
              <w:widowControl w:val="false"/>
              <w:suppressAutoHyphens w:val="true"/>
              <w:jc w:val="center"/>
              <w:rPr>
                <w:rFonts w:eastAsia="Times New Roman"/>
                <w:sz w:val="20"/>
                <w:lang w:eastAsia="zh-CN"/>
              </w:rPr>
            </w:pPr>
            <w:r>
              <w:rPr>
                <w:rFonts w:eastAsia="Times New Roman"/>
                <w:sz w:val="20"/>
                <w:lang w:eastAsia="zh-CN"/>
              </w:rPr>
            </w:r>
          </w:p>
        </w:tc>
      </w:tr>
      <w:tr>
        <w:trPr>
          <w:trHeight w:val="534" w:hRule="atLeast"/>
        </w:trPr>
        <w:tc>
          <w:tcPr>
            <w:tcW w:w="388"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2</w:t>
            </w:r>
          </w:p>
        </w:tc>
        <w:tc>
          <w:tcPr>
            <w:tcW w:w="1877" w:type="dxa"/>
            <w:tcBorders>
              <w:left w:val="single" w:sz="4" w:space="0" w:color="000000"/>
              <w:bottom w:val="single" w:sz="4" w:space="0" w:color="000000"/>
            </w:tcBorders>
            <w:vAlign w:val="center"/>
          </w:tcPr>
          <w:p>
            <w:pPr>
              <w:pStyle w:val="Normal"/>
              <w:widowControl w:val="false"/>
              <w:spacing w:before="0" w:after="0"/>
              <w:jc w:val="left"/>
              <w:rPr>
                <w:sz w:val="20"/>
                <w:szCs w:val="20"/>
              </w:rPr>
            </w:pPr>
            <w:r>
              <w:rPr>
                <w:rFonts w:eastAsia="Calibri" w:cs="Times New Roman" w:ascii="Times New Roman;serif" w:hAnsi="Times New Roman;serif"/>
                <w:b/>
                <w:kern w:val="0"/>
                <w:sz w:val="20"/>
                <w:szCs w:val="20"/>
                <w:lang w:eastAsia="en-US" w:bidi="ar-SA"/>
              </w:rPr>
              <w:t>Лізуючий розчин ERBA Lyse-Diff (CS), 1 літр</w:t>
            </w:r>
          </w:p>
        </w:tc>
        <w:tc>
          <w:tcPr>
            <w:tcW w:w="1755" w:type="dxa"/>
            <w:tcBorders>
              <w:left w:val="single" w:sz="4" w:space="0" w:color="000000"/>
              <w:bottom w:val="single" w:sz="4" w:space="0" w:color="000000"/>
            </w:tcBorders>
            <w:shd w:color="auto" w:fill="auto" w:val="clear"/>
            <w:vAlign w:val="center"/>
          </w:tcPr>
          <w:p>
            <w:pPr>
              <w:pStyle w:val="Normal"/>
              <w:widowControl w:val="false"/>
              <w:spacing w:before="0" w:after="0"/>
              <w:jc w:val="left"/>
              <w:rPr>
                <w:sz w:val="20"/>
                <w:szCs w:val="20"/>
              </w:rPr>
            </w:pPr>
            <w:r>
              <w:rPr>
                <w:sz w:val="20"/>
                <w:szCs w:val="20"/>
              </w:rPr>
            </w:r>
          </w:p>
          <w:p>
            <w:pPr>
              <w:pStyle w:val="Normal"/>
              <w:widowControl w:val="false"/>
              <w:spacing w:before="0" w:after="0"/>
              <w:jc w:val="left"/>
              <w:rPr>
                <w:sz w:val="20"/>
                <w:szCs w:val="20"/>
              </w:rPr>
            </w:pPr>
            <w:r>
              <w:rPr>
                <w:rFonts w:eastAsia="Calibri" w:cs="Times New Roman"/>
                <w:kern w:val="0"/>
                <w:sz w:val="20"/>
                <w:szCs w:val="20"/>
                <w:lang w:eastAsia="en-US" w:bidi="ar-SA"/>
              </w:rPr>
              <w:t>61165-</w:t>
            </w:r>
          </w:p>
          <w:p>
            <w:pPr>
              <w:pStyle w:val="Normal"/>
              <w:widowControl w:val="false"/>
              <w:suppressAutoHyphens w:val="true"/>
              <w:spacing w:before="0" w:after="0"/>
              <w:jc w:val="left"/>
              <w:rPr>
                <w:rFonts w:eastAsia="Times New Roman"/>
                <w:sz w:val="20"/>
                <w:szCs w:val="20"/>
                <w:lang w:eastAsia="ru-RU"/>
              </w:rPr>
            </w:pPr>
            <w:r>
              <w:rPr>
                <w:rFonts w:eastAsia="Times New Roman" w:cs="Times New Roman"/>
                <w:kern w:val="0"/>
                <w:sz w:val="20"/>
                <w:szCs w:val="20"/>
                <w:shd w:fill="FDFEFD" w:val="clear"/>
                <w:lang w:eastAsia="zh-CN" w:bidi="ar-SA"/>
              </w:rPr>
              <w:t xml:space="preserve">Реагент для лізису клітин крові ІВД </w:t>
            </w:r>
          </w:p>
        </w:tc>
        <w:tc>
          <w:tcPr>
            <w:tcW w:w="3418" w:type="dxa"/>
            <w:tcBorders>
              <w:left w:val="single" w:sz="4" w:space="0" w:color="000000"/>
              <w:bottom w:val="single" w:sz="4" w:space="0" w:color="000000"/>
            </w:tcBorders>
            <w:vAlign w:val="center"/>
          </w:tcPr>
          <w:p>
            <w:pPr>
              <w:pStyle w:val="Style19"/>
              <w:widowControl w:val="false"/>
              <w:spacing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eastAsia="ru-RU" w:bidi="ar-SA"/>
              </w:rPr>
              <w:t xml:space="preserve">Реагент має бути стабілізованим мікрофільтрованим лізуючим реагентом, призначеним для проведення лізису під час кількісного і якісного визначення вмісту еритроцитів (RBC), лейкоцитів (WBC) і їх субпопуляцій (LYM, MID, GRAN), а також визначення концентрації гемоглобіну (HGB) у зразках крові людини з використанням гематологічних аналізаторів.Склад реагенту: не гірше </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ПАР                      &lt; 3,5 %</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Буфери                 &lt; 1,0 %</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Консерванти        &lt; 0,5 %</w:t>
            </w:r>
          </w:p>
          <w:p>
            <w:pPr>
              <w:pStyle w:val="Style19"/>
              <w:widowControl w:val="false"/>
              <w:spacing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eastAsia="ru-RU" w:bidi="ar-SA"/>
              </w:rPr>
              <w:t>Стабілізатори       &lt; 0,5 %</w:t>
            </w:r>
          </w:p>
          <w:p>
            <w:pPr>
              <w:pStyle w:val="Style19"/>
              <w:widowControl w:val="false"/>
              <w:spacing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eastAsia="ru-RU" w:bidi="ar-SA"/>
              </w:rPr>
              <w:t>Повинен бути  безпечним для навколишнього</w:t>
              <w:br/>
              <w:t>середовища реагентом, який не містить азидів та інших шкідливих речовин.</w:t>
            </w:r>
          </w:p>
          <w:p>
            <w:pPr>
              <w:pStyle w:val="Style19"/>
              <w:widowControl w:val="false"/>
              <w:spacing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eastAsia="ru-RU" w:bidi="ar-SA"/>
              </w:rPr>
              <w:t>Умови зберігання за температури +15 до +30 °C.</w:t>
            </w:r>
          </w:p>
          <w:p>
            <w:pPr>
              <w:pStyle w:val="Style19"/>
              <w:widowControl w:val="false"/>
              <w:spacing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eastAsia="ru-RU" w:bidi="ar-SA"/>
              </w:rPr>
              <w:t>Фасування: не менше 1 л.</w:t>
            </w:r>
          </w:p>
        </w:tc>
        <w:tc>
          <w:tcPr>
            <w:tcW w:w="959"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val="ru-RU" w:eastAsia="zh-CN"/>
              </w:rPr>
              <w:t>шт</w:t>
            </w:r>
            <w:r>
              <w:rPr>
                <w:rFonts w:eastAsia="Times New Roman"/>
                <w:sz w:val="20"/>
                <w:lang w:val="ru-RU" w:eastAsia="zh-CN"/>
              </w:rPr>
              <w:t>.</w:t>
            </w:r>
          </w:p>
        </w:tc>
        <w:tc>
          <w:tcPr>
            <w:tcW w:w="1086"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t>16</w:t>
            </w:r>
          </w:p>
        </w:tc>
        <w:tc>
          <w:tcPr>
            <w:tcW w:w="1046" w:type="dxa"/>
            <w:tcBorders>
              <w:left w:val="single" w:sz="4" w:space="0" w:color="000000"/>
              <w:bottom w:val="single" w:sz="4" w:space="0" w:color="000000"/>
              <w:right w:val="single" w:sz="4" w:space="0" w:color="000000"/>
            </w:tcBorders>
          </w:tcPr>
          <w:p>
            <w:pPr>
              <w:pStyle w:val="Normal"/>
              <w:widowControl w:val="false"/>
              <w:suppressAutoHyphens w:val="true"/>
              <w:jc w:val="center"/>
              <w:rPr>
                <w:rFonts w:eastAsia="Times New Roman"/>
                <w:sz w:val="20"/>
                <w:lang w:eastAsia="zh-CN"/>
              </w:rPr>
            </w:pPr>
            <w:r>
              <w:rPr>
                <w:rFonts w:eastAsia="Times New Roman"/>
                <w:sz w:val="20"/>
                <w:lang w:eastAsia="zh-CN"/>
              </w:rPr>
            </w:r>
          </w:p>
        </w:tc>
      </w:tr>
      <w:tr>
        <w:trPr>
          <w:trHeight w:val="1816" w:hRule="atLeast"/>
        </w:trPr>
        <w:tc>
          <w:tcPr>
            <w:tcW w:w="388"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3</w:t>
            </w:r>
          </w:p>
        </w:tc>
        <w:tc>
          <w:tcPr>
            <w:tcW w:w="1877" w:type="dxa"/>
            <w:tcBorders>
              <w:left w:val="single" w:sz="4" w:space="0" w:color="000000"/>
              <w:bottom w:val="single" w:sz="4" w:space="0" w:color="000000"/>
            </w:tcBorders>
            <w:vAlign w:val="center"/>
          </w:tcPr>
          <w:p>
            <w:pPr>
              <w:pStyle w:val="Normal"/>
              <w:widowControl w:val="false"/>
              <w:spacing w:before="0" w:after="0"/>
              <w:jc w:val="left"/>
              <w:rPr>
                <w:sz w:val="20"/>
                <w:szCs w:val="20"/>
              </w:rPr>
            </w:pPr>
            <w:bookmarkStart w:id="2" w:name="_Hlk126758427"/>
            <w:bookmarkStart w:id="3" w:name="_Hlk1267584271"/>
            <w:r>
              <w:rPr>
                <w:rFonts w:eastAsia="Calibri" w:cs="Times New Roman" w:ascii="Times New Roman;serif" w:hAnsi="Times New Roman;serif"/>
                <w:b/>
                <w:kern w:val="0"/>
                <w:sz w:val="20"/>
                <w:szCs w:val="20"/>
                <w:lang w:eastAsia="en-US" w:bidi="ar-SA"/>
              </w:rPr>
              <w:t xml:space="preserve">Розчин для очищення ERBA Cleaner,1 літр </w:t>
            </w:r>
            <w:bookmarkEnd w:id="2"/>
            <w:bookmarkEnd w:id="3"/>
          </w:p>
        </w:tc>
        <w:tc>
          <w:tcPr>
            <w:tcW w:w="1755" w:type="dxa"/>
            <w:tcBorders>
              <w:left w:val="single" w:sz="4" w:space="0" w:color="000000"/>
              <w:bottom w:val="single" w:sz="4" w:space="0" w:color="000000"/>
            </w:tcBorders>
            <w:shd w:color="auto" w:fill="auto" w:val="clear"/>
            <w:vAlign w:val="center"/>
          </w:tcPr>
          <w:p>
            <w:pPr>
              <w:pStyle w:val="Normal"/>
              <w:widowControl w:val="false"/>
              <w:suppressAutoHyphens w:val="true"/>
              <w:spacing w:before="0" w:after="0"/>
              <w:jc w:val="left"/>
              <w:rPr>
                <w:rFonts w:ascii="Times New Roman" w:hAnsi="Times New Roman" w:cs="Times New Roman"/>
                <w:color w:val="000000"/>
                <w:kern w:val="0"/>
                <w:sz w:val="20"/>
                <w:szCs w:val="20"/>
                <w:lang w:eastAsia="en-US" w:bidi="ar-SA"/>
              </w:rPr>
            </w:pPr>
            <w:bookmarkStart w:id="4" w:name="additionalClassification_id0"/>
            <w:bookmarkEnd w:id="4"/>
            <w:r>
              <w:rPr>
                <w:rFonts w:eastAsia="Times New Roman" w:cs="Times New Roman"/>
                <w:b w:val="false"/>
                <w:i w:val="false"/>
                <w:caps w:val="false"/>
                <w:smallCaps w:val="false"/>
                <w:color w:val="000000"/>
                <w:spacing w:val="0"/>
                <w:kern w:val="0"/>
                <w:sz w:val="20"/>
                <w:szCs w:val="20"/>
                <w:shd w:fill="FDFEFD" w:val="clear"/>
                <w:lang w:eastAsia="zh-CN" w:bidi="ar-SA"/>
              </w:rPr>
              <w:t>63377 - Засіб для очищення приладу/ аналізатора IVD (діагностика in vitro)</w:t>
            </w:r>
            <w:r>
              <w:rPr>
                <w:rFonts w:eastAsia="Times New Roman" w:cs="Times New Roman"/>
                <w:color w:val="000000"/>
                <w:kern w:val="0"/>
                <w:sz w:val="20"/>
                <w:szCs w:val="20"/>
                <w:shd w:fill="FDFEFD" w:val="clear"/>
                <w:lang w:eastAsia="zh-CN" w:bidi="ar-SA"/>
              </w:rPr>
              <w:t xml:space="preserve"> </w:t>
            </w:r>
          </w:p>
        </w:tc>
        <w:tc>
          <w:tcPr>
            <w:tcW w:w="3418" w:type="dxa"/>
            <w:tcBorders>
              <w:left w:val="single" w:sz="4" w:space="0" w:color="000000"/>
              <w:bottom w:val="single" w:sz="4" w:space="0" w:color="000000"/>
            </w:tcBorders>
            <w:vAlign w:val="center"/>
          </w:tcPr>
          <w:p>
            <w:pPr>
              <w:pStyle w:val="Style19"/>
              <w:widowControl w:val="false"/>
              <w:spacing w:before="0" w:after="0"/>
              <w:jc w:val="left"/>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kern w:val="0"/>
                <w:sz w:val="20"/>
                <w:szCs w:val="20"/>
                <w:lang w:eastAsia="ru-RU" w:bidi="ar-SA"/>
              </w:rPr>
              <w:t>Реагент має бути  стабілізованим і мікрофільтрованим розчином детергентів, призначеним для втоматичного очищення і промивки капілярів, трубок і камер гематологічних аналізаторів, видалення осаду компонентів крові і нашарувань ліпопротеїнів.</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Склад реагента:  не гірше</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 xml:space="preserve">Детергенти      &lt; 1,0 %, </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Буфери            &lt; 1,0 %,</w:t>
            </w:r>
          </w:p>
          <w:p>
            <w:pPr>
              <w:pStyle w:val="Style19"/>
              <w:widowControl w:val="false"/>
              <w:spacing w:before="0" w:after="0"/>
              <w:rPr>
                <w:rFonts w:ascii="Times New Roman;serif" w:hAnsi="Times New Roman;serif"/>
                <w:sz w:val="20"/>
                <w:szCs w:val="20"/>
              </w:rPr>
            </w:pPr>
            <w:r>
              <w:rPr>
                <w:rFonts w:ascii="Times New Roman;serif" w:hAnsi="Times New Roman;serif"/>
                <w:sz w:val="20"/>
                <w:szCs w:val="20"/>
              </w:rPr>
              <w:t>Консерванти   &lt; 0,5 % ,</w:t>
            </w:r>
          </w:p>
          <w:p>
            <w:pPr>
              <w:pStyle w:val="Style19"/>
              <w:widowControl w:val="false"/>
              <w:spacing w:before="0" w:after="0"/>
              <w:jc w:val="left"/>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kern w:val="0"/>
                <w:sz w:val="20"/>
                <w:szCs w:val="20"/>
                <w:lang w:eastAsia="ru-RU" w:bidi="ar-SA"/>
              </w:rPr>
              <w:t>Стабілізатори  &lt; 0,5 %.</w:t>
            </w:r>
          </w:p>
          <w:p>
            <w:pPr>
              <w:pStyle w:val="Style19"/>
              <w:widowControl w:val="false"/>
              <w:spacing w:before="0" w:after="0"/>
              <w:jc w:val="left"/>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kern w:val="0"/>
                <w:sz w:val="20"/>
                <w:szCs w:val="20"/>
                <w:lang w:eastAsia="ru-RU" w:bidi="ar-SA"/>
              </w:rPr>
              <w:t>Умови зберігання +15 до +30 °C.</w:t>
            </w:r>
          </w:p>
          <w:p>
            <w:pPr>
              <w:pStyle w:val="Style19"/>
              <w:widowControl w:val="false"/>
              <w:spacing w:before="0" w:after="0"/>
              <w:jc w:val="left"/>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kern w:val="0"/>
                <w:sz w:val="20"/>
                <w:szCs w:val="20"/>
                <w:lang w:eastAsia="ru-RU" w:bidi="ar-SA"/>
              </w:rPr>
              <w:t>Фасування: не менше 1 л.</w:t>
            </w:r>
          </w:p>
          <w:p>
            <w:pPr>
              <w:pStyle w:val="Style19"/>
              <w:widowControl w:val="false"/>
              <w:spacing w:before="0" w:after="0"/>
              <w:jc w:val="left"/>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kern w:val="0"/>
                <w:sz w:val="20"/>
                <w:szCs w:val="20"/>
                <w:lang w:eastAsia="ru-RU" w:bidi="ar-SA"/>
              </w:rPr>
              <w:t>Перед використанням тримати за кімнатної температури не більше 12 годин.</w:t>
            </w:r>
          </w:p>
        </w:tc>
        <w:tc>
          <w:tcPr>
            <w:tcW w:w="959"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r>
          </w:p>
          <w:p>
            <w:pPr>
              <w:pStyle w:val="Normal"/>
              <w:widowControl w:val="false"/>
              <w:suppressAutoHyphens w:val="true"/>
              <w:jc w:val="center"/>
              <w:rPr>
                <w:rFonts w:eastAsia="Times New Roman"/>
                <w:sz w:val="20"/>
                <w:lang w:eastAsia="zh-CN"/>
              </w:rPr>
            </w:pPr>
            <w:r>
              <w:rPr>
                <w:rFonts w:eastAsia="Times New Roman"/>
                <w:sz w:val="20"/>
                <w:lang w:val="ru-RU" w:eastAsia="zh-CN"/>
              </w:rPr>
              <w:t>шт</w:t>
            </w:r>
            <w:r>
              <w:rPr>
                <w:rFonts w:eastAsia="Times New Roman"/>
                <w:sz w:val="20"/>
                <w:lang w:val="ru-RU" w:eastAsia="zh-CN"/>
              </w:rPr>
              <w:t>.</w:t>
            </w:r>
          </w:p>
        </w:tc>
        <w:tc>
          <w:tcPr>
            <w:tcW w:w="1086"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t>37</w:t>
            </w:r>
          </w:p>
        </w:tc>
        <w:tc>
          <w:tcPr>
            <w:tcW w:w="1046" w:type="dxa"/>
            <w:tcBorders>
              <w:left w:val="single" w:sz="4" w:space="0" w:color="000000"/>
              <w:bottom w:val="single" w:sz="4" w:space="0" w:color="000000"/>
              <w:right w:val="single" w:sz="4" w:space="0" w:color="000000"/>
            </w:tcBorders>
          </w:tcPr>
          <w:p>
            <w:pPr>
              <w:pStyle w:val="Normal"/>
              <w:widowControl w:val="false"/>
              <w:suppressAutoHyphens w:val="true"/>
              <w:jc w:val="center"/>
              <w:rPr>
                <w:rFonts w:eastAsia="Times New Roman"/>
                <w:sz w:val="20"/>
                <w:lang w:eastAsia="zh-CN"/>
              </w:rPr>
            </w:pPr>
            <w:r>
              <w:rPr>
                <w:rFonts w:eastAsia="Times New Roman"/>
                <w:sz w:val="20"/>
                <w:lang w:eastAsia="zh-CN"/>
              </w:rPr>
            </w:r>
          </w:p>
        </w:tc>
      </w:tr>
      <w:tr>
        <w:trPr>
          <w:trHeight w:val="646" w:hRule="atLeast"/>
        </w:trPr>
        <w:tc>
          <w:tcPr>
            <w:tcW w:w="388"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4</w:t>
            </w:r>
          </w:p>
        </w:tc>
        <w:tc>
          <w:tcPr>
            <w:tcW w:w="1877" w:type="dxa"/>
            <w:tcBorders>
              <w:left w:val="single" w:sz="4" w:space="0" w:color="000000"/>
              <w:bottom w:val="single" w:sz="4" w:space="0" w:color="000000"/>
            </w:tcBorders>
            <w:vAlign w:val="center"/>
          </w:tcPr>
          <w:p>
            <w:pPr>
              <w:pStyle w:val="Normal"/>
              <w:widowControl w:val="false"/>
              <w:spacing w:lineRule="auto" w:line="252" w:before="0" w:after="0"/>
              <w:jc w:val="left"/>
              <w:rPr>
                <w:sz w:val="20"/>
                <w:szCs w:val="20"/>
              </w:rPr>
            </w:pPr>
            <w:r>
              <w:rPr>
                <w:rFonts w:eastAsia="Calibri" w:cs="Times New Roman" w:ascii="Times New Roman;serif" w:hAnsi="Times New Roman;serif"/>
                <w:b/>
                <w:kern w:val="0"/>
                <w:sz w:val="20"/>
                <w:szCs w:val="20"/>
                <w:lang w:eastAsia="en-US" w:bidi="ar-SA"/>
              </w:rPr>
              <w:t xml:space="preserve">Розчин для очищення ERBA Hypoclean CC, 100 мл </w:t>
            </w:r>
          </w:p>
        </w:tc>
        <w:tc>
          <w:tcPr>
            <w:tcW w:w="1755" w:type="dxa"/>
            <w:tcBorders>
              <w:left w:val="single" w:sz="4" w:space="0" w:color="000000"/>
              <w:bottom w:val="single" w:sz="4" w:space="0" w:color="000000"/>
            </w:tcBorders>
            <w:shd w:color="auto" w:fill="auto" w:val="clear"/>
            <w:vAlign w:val="center"/>
          </w:tcPr>
          <w:p>
            <w:pPr>
              <w:pStyle w:val="Normal"/>
              <w:widowControl w:val="false"/>
              <w:suppressAutoHyphens w:val="true"/>
              <w:spacing w:before="0" w:after="0"/>
              <w:jc w:val="left"/>
              <w:rPr>
                <w:rFonts w:ascii="Times New Roman" w:hAnsi="Times New Roman" w:cs="Times New Roman"/>
                <w:color w:val="000000"/>
                <w:kern w:val="0"/>
                <w:sz w:val="20"/>
                <w:szCs w:val="20"/>
                <w:lang w:eastAsia="en-US" w:bidi="ar-SA"/>
              </w:rPr>
            </w:pPr>
            <w:bookmarkStart w:id="5" w:name="additionalClassification_id01"/>
            <w:bookmarkEnd w:id="5"/>
            <w:r>
              <w:rPr>
                <w:rFonts w:eastAsia="Times New Roman" w:cs="Times New Roman"/>
                <w:b w:val="false"/>
                <w:i w:val="false"/>
                <w:caps w:val="false"/>
                <w:smallCaps w:val="false"/>
                <w:color w:val="000000"/>
                <w:spacing w:val="0"/>
                <w:kern w:val="0"/>
                <w:sz w:val="20"/>
                <w:szCs w:val="20"/>
                <w:shd w:fill="FDFEFD" w:val="clear"/>
                <w:lang w:eastAsia="zh-CN" w:bidi="ar-SA"/>
              </w:rPr>
              <w:t>63377 - Засіб для очищення приладу/ аналізатора IVD (діагностика in vitro)</w:t>
            </w:r>
            <w:r>
              <w:rPr>
                <w:rFonts w:eastAsia="Times New Roman" w:cs="Times New Roman"/>
                <w:color w:val="000000"/>
                <w:kern w:val="0"/>
                <w:sz w:val="20"/>
                <w:szCs w:val="20"/>
                <w:shd w:fill="FDFEFD" w:val="clear"/>
                <w:lang w:eastAsia="zh-CN" w:bidi="ar-SA"/>
              </w:rPr>
              <w:t xml:space="preserve"> </w:t>
            </w:r>
          </w:p>
        </w:tc>
        <w:tc>
          <w:tcPr>
            <w:tcW w:w="3418" w:type="dxa"/>
            <w:tcBorders>
              <w:left w:val="single" w:sz="4" w:space="0" w:color="000000"/>
              <w:bottom w:val="single" w:sz="4" w:space="0" w:color="000000"/>
            </w:tcBorders>
            <w:vAlign w:val="center"/>
          </w:tcPr>
          <w:p>
            <w:pPr>
              <w:pStyle w:val="Style19"/>
              <w:widowControl w:val="false"/>
              <w:spacing w:lineRule="auto" w:line="252"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eastAsia="ru-RU" w:bidi="ar-SA"/>
              </w:rPr>
              <w:t>Реагент є концентрованим, стабілізованим і мікрофільтрованим гіпохлоритним очисним розчином, призначеним для глибокого окисного очищення і промивки капілярів, трубок і камер гематологічних аналізаторів, видалення осаду компонентів крові і нашарувань ліпопротеїнів у випадку необхідності "аварійної" промивки.</w:t>
            </w:r>
          </w:p>
          <w:p>
            <w:pPr>
              <w:pStyle w:val="Style19"/>
              <w:widowControl w:val="false"/>
              <w:spacing w:lineRule="auto" w:line="252" w:before="0" w:after="0"/>
              <w:rPr>
                <w:rFonts w:ascii="Times New Roman;serif" w:hAnsi="Times New Roman;serif"/>
                <w:b w:val="false"/>
                <w:b w:val="false"/>
                <w:bCs w:val="false"/>
                <w:sz w:val="20"/>
                <w:szCs w:val="20"/>
              </w:rPr>
            </w:pPr>
            <w:r>
              <w:rPr>
                <w:rFonts w:ascii="Times New Roman;serif" w:hAnsi="Times New Roman;serif"/>
                <w:b w:val="false"/>
                <w:bCs w:val="false"/>
                <w:sz w:val="20"/>
                <w:szCs w:val="20"/>
              </w:rPr>
              <w:t xml:space="preserve">Склад реагентів, не гірше: </w:t>
            </w:r>
          </w:p>
          <w:p>
            <w:pPr>
              <w:pStyle w:val="Style19"/>
              <w:widowControl w:val="false"/>
              <w:spacing w:lineRule="auto" w:line="252"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eastAsia="ru-RU" w:bidi="ar-SA"/>
              </w:rPr>
              <w:t>Детергенти                    </w:t>
            </w:r>
            <w:r>
              <w:rPr>
                <w:rFonts w:eastAsia="Times New Roman" w:cs="Times New Roman" w:ascii="Times New Roman;serif" w:hAnsi="Times New Roman;serif"/>
                <w:b w:val="false"/>
                <w:bCs w:val="false"/>
                <w:color w:val="000000"/>
                <w:kern w:val="0"/>
                <w:sz w:val="20"/>
                <w:szCs w:val="20"/>
                <w:lang w:val="ru-RU" w:eastAsia="ru-RU" w:bidi="ar-SA"/>
              </w:rPr>
              <w:t>&lt; 1,0 %</w:t>
              <w:br/>
            </w:r>
            <w:r>
              <w:rPr>
                <w:rFonts w:eastAsia="Times New Roman" w:cs="Times New Roman" w:ascii="Times New Roman;serif" w:hAnsi="Times New Roman;serif"/>
                <w:b w:val="false"/>
                <w:bCs w:val="false"/>
                <w:color w:val="000000"/>
                <w:kern w:val="0"/>
                <w:sz w:val="20"/>
                <w:szCs w:val="20"/>
                <w:lang w:eastAsia="ru-RU" w:bidi="ar-SA"/>
              </w:rPr>
              <w:t>Натрію гіпохлорит       </w:t>
            </w:r>
            <w:r>
              <w:rPr>
                <w:rFonts w:eastAsia="Times New Roman" w:cs="Times New Roman" w:ascii="Times New Roman;serif" w:hAnsi="Times New Roman;serif"/>
                <w:b w:val="false"/>
                <w:bCs w:val="false"/>
                <w:color w:val="000000"/>
                <w:kern w:val="0"/>
                <w:sz w:val="20"/>
                <w:szCs w:val="20"/>
                <w:lang w:val="ru-RU" w:eastAsia="ru-RU" w:bidi="ar-SA"/>
              </w:rPr>
              <w:t>&lt; 5,0 %</w:t>
              <w:br/>
            </w:r>
            <w:r>
              <w:rPr>
                <w:rFonts w:eastAsia="Times New Roman" w:cs="Times New Roman" w:ascii="Times New Roman;serif" w:hAnsi="Times New Roman;serif"/>
                <w:b w:val="false"/>
                <w:bCs w:val="false"/>
                <w:color w:val="000000"/>
                <w:kern w:val="0"/>
                <w:sz w:val="20"/>
                <w:szCs w:val="20"/>
                <w:lang w:eastAsia="ru-RU" w:bidi="ar-SA"/>
              </w:rPr>
              <w:t>Натрію гідроксид         </w:t>
            </w:r>
            <w:r>
              <w:rPr>
                <w:rFonts w:eastAsia="Times New Roman" w:cs="Times New Roman" w:ascii="Times New Roman;serif" w:hAnsi="Times New Roman;serif"/>
                <w:b w:val="false"/>
                <w:bCs w:val="false"/>
                <w:color w:val="000000"/>
                <w:kern w:val="0"/>
                <w:sz w:val="20"/>
                <w:szCs w:val="20"/>
                <w:lang w:val="ru-RU" w:eastAsia="ru-RU" w:bidi="ar-SA"/>
              </w:rPr>
              <w:t>&lt; 0,5 %</w:t>
              <w:br/>
            </w:r>
            <w:r>
              <w:rPr>
                <w:rFonts w:eastAsia="Times New Roman" w:cs="Times New Roman" w:ascii="Times New Roman;serif" w:hAnsi="Times New Roman;serif"/>
                <w:b w:val="false"/>
                <w:bCs w:val="false"/>
                <w:color w:val="000000"/>
                <w:kern w:val="0"/>
                <w:sz w:val="20"/>
                <w:szCs w:val="20"/>
                <w:lang w:eastAsia="ru-RU" w:bidi="ar-SA"/>
              </w:rPr>
              <w:t>Стабілізатори               </w:t>
            </w:r>
            <w:r>
              <w:rPr>
                <w:rFonts w:eastAsia="Times New Roman" w:cs="Times New Roman" w:ascii="Times New Roman;serif" w:hAnsi="Times New Roman;serif"/>
                <w:b w:val="false"/>
                <w:bCs w:val="false"/>
                <w:color w:val="000000"/>
                <w:kern w:val="0"/>
                <w:sz w:val="20"/>
                <w:szCs w:val="20"/>
                <w:lang w:val="ru-RU" w:eastAsia="ru-RU" w:bidi="ar-SA"/>
              </w:rPr>
              <w:t>&lt; 0,5 %</w:t>
            </w:r>
          </w:p>
          <w:p>
            <w:pPr>
              <w:pStyle w:val="Style19"/>
              <w:widowControl w:val="false"/>
              <w:spacing w:lineRule="auto" w:line="252" w:before="0" w:after="0"/>
              <w:jc w:val="both"/>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val="ru-RU" w:eastAsia="ru-RU" w:bidi="ar-SA"/>
              </w:rPr>
              <w:t>Умови зберігання: +15 до +30ºС</w:t>
            </w:r>
          </w:p>
          <w:p>
            <w:pPr>
              <w:pStyle w:val="Style19"/>
              <w:widowControl w:val="false"/>
              <w:spacing w:lineRule="auto" w:line="252" w:before="0" w:after="0"/>
              <w:jc w:val="left"/>
              <w:rPr>
                <w:rFonts w:ascii="Times New Roman;serif" w:hAnsi="Times New Roman;serif"/>
                <w:b w:val="false"/>
                <w:b w:val="false"/>
                <w:bCs w:val="false"/>
                <w:sz w:val="20"/>
                <w:szCs w:val="20"/>
              </w:rPr>
            </w:pPr>
            <w:r>
              <w:rPr>
                <w:rFonts w:eastAsia="Times New Roman" w:cs="Times New Roman" w:ascii="Times New Roman;serif" w:hAnsi="Times New Roman;serif"/>
                <w:b w:val="false"/>
                <w:bCs w:val="false"/>
                <w:color w:val="000000"/>
                <w:kern w:val="0"/>
                <w:sz w:val="20"/>
                <w:szCs w:val="20"/>
                <w:lang w:eastAsia="ru-RU" w:bidi="ar-SA"/>
              </w:rPr>
              <w:t>Фасування: 100 мл</w:t>
            </w:r>
          </w:p>
        </w:tc>
        <w:tc>
          <w:tcPr>
            <w:tcW w:w="959"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шт</w:t>
            </w:r>
            <w:r>
              <w:rPr>
                <w:rFonts w:eastAsia="Times New Roman"/>
                <w:sz w:val="20"/>
                <w:lang w:val="ru-RU" w:eastAsia="zh-CN"/>
              </w:rPr>
              <w:t>.</w:t>
            </w:r>
          </w:p>
        </w:tc>
        <w:tc>
          <w:tcPr>
            <w:tcW w:w="1086"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t>9</w:t>
            </w:r>
          </w:p>
        </w:tc>
        <w:tc>
          <w:tcPr>
            <w:tcW w:w="1046" w:type="dxa"/>
            <w:tcBorders>
              <w:left w:val="single" w:sz="4" w:space="0" w:color="000000"/>
              <w:bottom w:val="single" w:sz="4" w:space="0" w:color="000000"/>
              <w:right w:val="single" w:sz="4" w:space="0" w:color="000000"/>
            </w:tcBorders>
          </w:tcPr>
          <w:p>
            <w:pPr>
              <w:pStyle w:val="Normal"/>
              <w:widowControl w:val="false"/>
              <w:suppressAutoHyphens w:val="true"/>
              <w:jc w:val="center"/>
              <w:rPr>
                <w:rFonts w:eastAsia="Times New Roman"/>
                <w:sz w:val="20"/>
                <w:lang w:eastAsia="zh-CN"/>
              </w:rPr>
            </w:pPr>
            <w:r>
              <w:rPr>
                <w:rFonts w:eastAsia="Times New Roman"/>
                <w:sz w:val="20"/>
                <w:lang w:eastAsia="zh-CN"/>
              </w:rPr>
            </w:r>
          </w:p>
        </w:tc>
      </w:tr>
      <w:tr>
        <w:trPr>
          <w:trHeight w:val="646" w:hRule="atLeast"/>
        </w:trPr>
        <w:tc>
          <w:tcPr>
            <w:tcW w:w="388"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ru-RU" w:eastAsia="zh-CN"/>
              </w:rPr>
              <w:t>5</w:t>
            </w:r>
          </w:p>
        </w:tc>
        <w:tc>
          <w:tcPr>
            <w:tcW w:w="1877" w:type="dxa"/>
            <w:tcBorders>
              <w:left w:val="single" w:sz="4" w:space="0" w:color="000000"/>
              <w:bottom w:val="single" w:sz="4" w:space="0" w:color="000000"/>
            </w:tcBorders>
            <w:vAlign w:val="center"/>
          </w:tcPr>
          <w:p>
            <w:pPr>
              <w:pStyle w:val="Normal"/>
              <w:widowControl w:val="false"/>
              <w:spacing w:before="0" w:after="0"/>
              <w:jc w:val="left"/>
              <w:rPr>
                <w:sz w:val="20"/>
                <w:szCs w:val="20"/>
              </w:rPr>
            </w:pPr>
            <w:r>
              <w:rPr>
                <w:rFonts w:eastAsia="Calibri" w:cs="Times New Roman"/>
                <w:b/>
                <w:kern w:val="0"/>
                <w:sz w:val="22"/>
                <w:szCs w:val="22"/>
                <w:lang w:val="en-US" w:eastAsia="en-US" w:bidi="ar-SA"/>
              </w:rPr>
              <w:t xml:space="preserve">Elite 3 HEM </w:t>
            </w:r>
            <w:r>
              <w:rPr>
                <w:rFonts w:eastAsia="Calibri" w:cs="Times New Roman"/>
                <w:b/>
                <w:kern w:val="0"/>
                <w:sz w:val="22"/>
                <w:szCs w:val="22"/>
                <w:lang w:eastAsia="en-US" w:bidi="ar-SA"/>
              </w:rPr>
              <w:t xml:space="preserve">контроль нормальний / Elite 3 HEM </w:t>
            </w:r>
            <w:r>
              <w:rPr>
                <w:rFonts w:eastAsia="Calibri" w:cs="Times New Roman"/>
                <w:b/>
                <w:kern w:val="0"/>
                <w:sz w:val="22"/>
                <w:szCs w:val="22"/>
                <w:lang w:val="en-US" w:eastAsia="en-US" w:bidi="ar-SA"/>
              </w:rPr>
              <w:t>Control Normal</w:t>
            </w:r>
            <w:r>
              <w:rPr>
                <w:rFonts w:eastAsia="Calibri" w:cs="Times New Roman"/>
                <w:b/>
                <w:kern w:val="0"/>
                <w:sz w:val="22"/>
                <w:szCs w:val="22"/>
                <w:lang w:eastAsia="en-US" w:bidi="ar-SA"/>
              </w:rPr>
              <w:t>, 3 мл</w:t>
            </w:r>
          </w:p>
        </w:tc>
        <w:tc>
          <w:tcPr>
            <w:tcW w:w="1755" w:type="dxa"/>
            <w:tcBorders>
              <w:left w:val="single" w:sz="4" w:space="0" w:color="000000"/>
              <w:bottom w:val="single" w:sz="4" w:space="0" w:color="000000"/>
            </w:tcBorders>
            <w:shd w:color="auto" w:fill="auto" w:val="clear"/>
            <w:vAlign w:val="center"/>
          </w:tcPr>
          <w:p>
            <w:pPr>
              <w:pStyle w:val="Normal"/>
              <w:widowControl w:val="false"/>
              <w:spacing w:before="0" w:after="0"/>
              <w:jc w:val="left"/>
              <w:rPr>
                <w:rFonts w:eastAsia="Calibri"/>
                <w:color w:val="000000"/>
                <w:sz w:val="20"/>
                <w:szCs w:val="20"/>
                <w:lang w:eastAsia="ru-RU"/>
              </w:rPr>
            </w:pPr>
            <w:r>
              <w:rPr>
                <w:rFonts w:eastAsia="Calibri" w:cs="Times New Roman"/>
                <w:color w:val="000000"/>
                <w:kern w:val="0"/>
                <w:sz w:val="20"/>
                <w:szCs w:val="20"/>
                <w:lang w:eastAsia="ru-RU" w:bidi="ar-SA"/>
              </w:rPr>
              <w:t>55866 - Підрахунок клітин крові IVD (діагностика in vitro), контрольний матеріал</w:t>
            </w:r>
          </w:p>
        </w:tc>
        <w:tc>
          <w:tcPr>
            <w:tcW w:w="3418" w:type="dxa"/>
            <w:tcBorders>
              <w:left w:val="single" w:sz="4" w:space="0" w:color="000000"/>
              <w:bottom w:val="single" w:sz="4" w:space="0" w:color="000000"/>
            </w:tcBorders>
            <w:vAlign w:val="center"/>
          </w:tcPr>
          <w:p>
            <w:pPr>
              <w:pStyle w:val="Style19"/>
              <w:widowControl w:val="false"/>
              <w:spacing w:lineRule="auto" w:line="252" w:before="0" w:after="0"/>
              <w:jc w:val="both"/>
              <w:rPr>
                <w:rFonts w:ascii="Times New Roman" w:hAnsi="Times New Roman"/>
                <w:sz w:val="20"/>
              </w:rPr>
            </w:pPr>
            <w:r>
              <w:rPr>
                <w:rFonts w:eastAsia="Times New Roman" w:cs="Times New Roman"/>
                <w:kern w:val="0"/>
                <w:sz w:val="20"/>
                <w:szCs w:val="20"/>
                <w:lang w:eastAsia="ru-RU" w:bidi="ar-SA"/>
              </w:rPr>
              <w:t>Контрольна проба, призначена для моніторингу і контролю точності і коректності результатів аналізів, здійснених на автоматичних і напівавтоматичних гематологічних аналізаторах імпедансного типу вимірювання</w:t>
            </w:r>
          </w:p>
          <w:p>
            <w:pPr>
              <w:pStyle w:val="Style19"/>
              <w:widowControl w:val="false"/>
              <w:spacing w:lineRule="auto" w:line="252" w:before="0" w:after="0"/>
              <w:jc w:val="both"/>
              <w:rPr>
                <w:rFonts w:ascii="Times New Roman" w:hAnsi="Times New Roman"/>
                <w:sz w:val="20"/>
              </w:rPr>
            </w:pPr>
            <w:r>
              <w:rPr>
                <w:rFonts w:eastAsia="Times New Roman" w:cs="Times New Roman"/>
                <w:kern w:val="0"/>
                <w:sz w:val="20"/>
                <w:szCs w:val="20"/>
                <w:lang w:eastAsia="ru-RU" w:bidi="ar-SA"/>
              </w:rPr>
              <w:t>Реагент має бути матеріалом для in vitro діагностики, містити еритроцити людини і ссавців, імітовані лейкоцити і тромбоцити у вигляді суспензії у плазмоподібній рідині з консервантами.</w:t>
            </w:r>
          </w:p>
          <w:p>
            <w:pPr>
              <w:pStyle w:val="Style19"/>
              <w:widowControl w:val="false"/>
              <w:spacing w:lineRule="auto" w:line="252" w:before="0" w:after="0"/>
              <w:jc w:val="both"/>
              <w:rPr>
                <w:rFonts w:ascii="Times New Roman" w:hAnsi="Times New Roman"/>
                <w:sz w:val="20"/>
              </w:rPr>
            </w:pPr>
            <w:r>
              <w:rPr>
                <w:rFonts w:eastAsia="Times New Roman" w:cs="Times New Roman"/>
                <w:kern w:val="0"/>
                <w:sz w:val="20"/>
                <w:szCs w:val="20"/>
                <w:lang w:eastAsia="ru-RU" w:bidi="ar-SA"/>
              </w:rPr>
              <w:t>Фасування: 1*3 мл.</w:t>
            </w:r>
          </w:p>
          <w:p>
            <w:pPr>
              <w:pStyle w:val="Style19"/>
              <w:widowControl w:val="false"/>
              <w:spacing w:lineRule="auto" w:line="252" w:before="0" w:after="0"/>
              <w:rPr>
                <w:rFonts w:ascii="Times New Roman" w:hAnsi="Times New Roman"/>
                <w:sz w:val="20"/>
              </w:rPr>
            </w:pPr>
            <w:r>
              <w:rPr>
                <w:sz w:val="20"/>
              </w:rPr>
              <w:t>Умови зберігання: у вертикальному</w:t>
            </w:r>
          </w:p>
          <w:p>
            <w:pPr>
              <w:pStyle w:val="Style19"/>
              <w:widowControl w:val="false"/>
              <w:spacing w:lineRule="auto" w:line="252" w:before="0" w:after="0"/>
              <w:jc w:val="both"/>
              <w:rPr>
                <w:rFonts w:ascii="Times New Roman" w:hAnsi="Times New Roman"/>
              </w:rPr>
            </w:pPr>
            <w:r>
              <w:rPr>
                <w:rFonts w:eastAsia="Times New Roman" w:cs="Times New Roman"/>
                <w:kern w:val="0"/>
                <w:sz w:val="20"/>
                <w:szCs w:val="20"/>
                <w:lang w:eastAsia="ru-RU" w:bidi="ar-SA"/>
              </w:rPr>
              <w:t>положенні за температури 2–8 °C</w:t>
            </w:r>
          </w:p>
        </w:tc>
        <w:tc>
          <w:tcPr>
            <w:tcW w:w="959"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val="ru-RU" w:eastAsia="zh-CN"/>
              </w:rPr>
            </w:pPr>
            <w:r>
              <w:rPr>
                <w:rFonts w:eastAsia="Times New Roman"/>
                <w:sz w:val="20"/>
                <w:lang w:val="uk-UA" w:eastAsia="zh-CN"/>
              </w:rPr>
              <w:t>флак</w:t>
            </w:r>
            <w:r>
              <w:rPr>
                <w:rFonts w:eastAsia="Times New Roman"/>
                <w:sz w:val="20"/>
                <w:lang w:val="ru-RU" w:eastAsia="zh-CN"/>
              </w:rPr>
              <w:t>.</w:t>
            </w:r>
          </w:p>
        </w:tc>
        <w:tc>
          <w:tcPr>
            <w:tcW w:w="1086" w:type="dxa"/>
            <w:tcBorders>
              <w:left w:val="single" w:sz="4" w:space="0" w:color="000000"/>
              <w:bottom w:val="single" w:sz="4" w:space="0" w:color="000000"/>
            </w:tcBorders>
            <w:vAlign w:val="center"/>
          </w:tcPr>
          <w:p>
            <w:pPr>
              <w:pStyle w:val="Normal"/>
              <w:widowControl w:val="false"/>
              <w:suppressAutoHyphens w:val="true"/>
              <w:jc w:val="center"/>
              <w:rPr>
                <w:rFonts w:eastAsia="Times New Roman"/>
                <w:sz w:val="20"/>
                <w:lang w:eastAsia="zh-CN"/>
              </w:rPr>
            </w:pPr>
            <w:r>
              <w:rPr>
                <w:rFonts w:eastAsia="Times New Roman"/>
                <w:sz w:val="20"/>
                <w:lang w:eastAsia="zh-CN"/>
              </w:rPr>
              <w:t>36</w:t>
            </w:r>
          </w:p>
        </w:tc>
        <w:tc>
          <w:tcPr>
            <w:tcW w:w="1046" w:type="dxa"/>
            <w:tcBorders>
              <w:left w:val="single" w:sz="4" w:space="0" w:color="000000"/>
              <w:bottom w:val="single" w:sz="4" w:space="0" w:color="000000"/>
              <w:right w:val="single" w:sz="4" w:space="0" w:color="000000"/>
            </w:tcBorders>
          </w:tcPr>
          <w:p>
            <w:pPr>
              <w:pStyle w:val="Normal"/>
              <w:widowControl w:val="false"/>
              <w:suppressAutoHyphens w:val="true"/>
              <w:jc w:val="center"/>
              <w:rPr>
                <w:rFonts w:eastAsia="Times New Roman"/>
                <w:sz w:val="20"/>
                <w:lang w:eastAsia="zh-CN"/>
              </w:rPr>
            </w:pPr>
            <w:r>
              <w:rPr>
                <w:rFonts w:eastAsia="Times New Roman"/>
                <w:sz w:val="20"/>
                <w:lang w:eastAsia="zh-CN"/>
              </w:rPr>
            </w:r>
          </w:p>
        </w:tc>
      </w:tr>
    </w:tbl>
    <w:p>
      <w:pPr>
        <w:pStyle w:val="Normal"/>
        <w:jc w:val="left"/>
        <w:rPr>
          <w:rFonts w:eastAsia="Times New Roman"/>
          <w:sz w:val="24"/>
          <w:szCs w:val="24"/>
          <w:lang w:eastAsia="ru-RU"/>
        </w:rPr>
      </w:pPr>
      <w:r>
        <w:rPr>
          <w:rFonts w:eastAsia="Times New Roman"/>
          <w:sz w:val="24"/>
          <w:szCs w:val="24"/>
          <w:lang w:eastAsia="ru-RU"/>
        </w:rPr>
      </w:r>
    </w:p>
    <w:p>
      <w:pPr>
        <w:pStyle w:val="Normal"/>
        <w:ind w:firstLine="567"/>
        <w:rPr>
          <w:rFonts w:eastAsia="Calibri"/>
          <w:i/>
          <w:i/>
          <w:lang w:eastAsia="ru-RU"/>
        </w:rPr>
      </w:pPr>
      <w:r>
        <w:rPr>
          <w:rFonts w:eastAsia="Calibri"/>
          <w:i/>
          <w:lang w:eastAsia="ru-RU"/>
        </w:rPr>
        <w:t>Примітка*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i/>
          <w:i/>
          <w:color w:val="000000"/>
          <w:lang w:eastAsia="ru-RU"/>
        </w:rPr>
      </w:pPr>
      <w:r>
        <w:rPr>
          <w:rFonts w:eastAsia="Times New Roman"/>
          <w:i/>
          <w:color w:val="000000"/>
          <w:lang w:eastAsia="ru-RU"/>
        </w:rPr>
        <w:t>У місцях, де технічна специфікація містить посилання на конкретну марку чи фірму, патент, конструкцію або тип товару,  джерело його походження або виробника то вважається, що дані Специфікації містять вираз «або еквівалент».</w:t>
      </w:r>
    </w:p>
    <w:p>
      <w:pPr>
        <w:pStyle w:val="Normal"/>
        <w:ind w:hanging="0"/>
        <w:rPr/>
      </w:pPr>
      <w:r>
        <w:rPr/>
      </w:r>
    </w:p>
    <w:p>
      <w:pPr>
        <w:pStyle w:val="Normal"/>
        <w:ind w:firstLine="567"/>
        <w:rPr>
          <w:rFonts w:eastAsia="Times New Roman"/>
          <w:b/>
          <w:b/>
          <w:bCs/>
          <w:lang w:eastAsia="ru-RU"/>
        </w:rPr>
      </w:pPr>
      <w:r>
        <w:rPr>
          <w:rFonts w:eastAsia="Times New Roman"/>
          <w:b/>
          <w:color w:val="FF0000"/>
          <w:lang w:eastAsia="ru-RU"/>
        </w:rPr>
        <w:t>Увага!</w:t>
      </w:r>
      <w:r>
        <w:rPr>
          <w:rFonts w:eastAsia="Times New Roman"/>
          <w:b/>
          <w:lang w:eastAsia="ru-RU"/>
        </w:rPr>
        <w:t xml:space="preserve"> </w:t>
      </w:r>
      <w:r>
        <w:rPr>
          <w:rFonts w:eastAsia="Times New Roman"/>
          <w:b/>
          <w:bCs/>
          <w:lang w:eastAsia="ru-RU"/>
        </w:rPr>
        <w:t xml:space="preserve">Обґрунтуванням потреби вказаних лабораторних реактивів  є наявність в установі автоматичного гематологічного аналізатора </w:t>
      </w:r>
      <w:r>
        <w:rPr>
          <w:rFonts w:eastAsia="Times New Roman" w:cs="Times New Roman"/>
          <w:b/>
          <w:bCs/>
          <w:color w:val="000000"/>
          <w:sz w:val="24"/>
          <w:szCs w:val="24"/>
          <w:lang w:val="uk-UA" w:eastAsia="ru-RU"/>
        </w:rPr>
        <w:t>Erba Elite 3</w:t>
      </w:r>
      <w:r>
        <w:rPr>
          <w:rFonts w:eastAsia="Times New Roman" w:cs="Times New Roman"/>
          <w:b w:val="false"/>
          <w:bCs w:val="false"/>
          <w:color w:val="000000"/>
          <w:sz w:val="24"/>
          <w:szCs w:val="24"/>
          <w:lang w:val="uk-UA" w:eastAsia="ru-RU"/>
        </w:rPr>
        <w:t>.</w:t>
      </w:r>
      <w:r>
        <w:rPr>
          <w:rFonts w:eastAsia="Times New Roman"/>
          <w:b/>
          <w:bCs/>
          <w:lang w:eastAsia="ru-RU"/>
        </w:rPr>
        <w:t xml:space="preserve"> Лабораторні реактиви  повинні бути сумісними з гематологічним аналізатором цієї торгової марки.</w:t>
      </w:r>
    </w:p>
    <w:p>
      <w:pPr>
        <w:pStyle w:val="Normal"/>
        <w:ind w:hanging="0"/>
        <w:rPr>
          <w:rFonts w:eastAsia="Times New Roman"/>
          <w:lang w:eastAsia="ru-RU"/>
        </w:rPr>
      </w:pPr>
      <w:r>
        <w:rPr>
          <w:rFonts w:eastAsia="Times New Roman"/>
          <w:lang w:eastAsia="ru-RU"/>
        </w:rPr>
      </w:r>
    </w:p>
    <w:p>
      <w:pPr>
        <w:pStyle w:val="Normal"/>
        <w:jc w:val="center"/>
        <w:rPr>
          <w:sz w:val="22"/>
          <w:szCs w:val="22"/>
        </w:rPr>
      </w:pPr>
      <w:r>
        <w:rPr>
          <w:rFonts w:eastAsia="Times New Roman"/>
          <w:b/>
          <w:sz w:val="22"/>
          <w:szCs w:val="22"/>
          <w:lang w:val="ru-RU" w:eastAsia="ru-RU"/>
        </w:rPr>
        <w:t>У складі тендерної пропозиції Учасник повинен надати д</w:t>
      </w:r>
      <w:r>
        <w:rPr>
          <w:rFonts w:eastAsia="Times New Roman"/>
          <w:b/>
          <w:color w:val="000000"/>
          <w:sz w:val="22"/>
          <w:szCs w:val="22"/>
          <w:shd w:fill="FFFFFF" w:val="clear"/>
          <w:lang w:val="ru-RU" w:eastAsia="ru-RU"/>
        </w:rPr>
        <w:t>окументи</w:t>
      </w:r>
      <w:r>
        <w:rPr>
          <w:rFonts w:eastAsia="Times New Roman"/>
          <w:b/>
          <w:color w:val="000000"/>
          <w:sz w:val="22"/>
          <w:szCs w:val="22"/>
          <w:shd w:fill="FFFFFF" w:val="clear"/>
          <w:lang w:eastAsia="ru-RU"/>
        </w:rPr>
        <w:t>:</w:t>
      </w:r>
      <w:r>
        <w:rPr>
          <w:rFonts w:eastAsia="Times New Roman"/>
          <w:b/>
          <w:bCs/>
          <w:sz w:val="22"/>
          <w:szCs w:val="22"/>
          <w:lang w:eastAsia="ru-RU"/>
        </w:rPr>
        <w:t xml:space="preserve"> </w:t>
      </w:r>
    </w:p>
    <w:p>
      <w:pPr>
        <w:pStyle w:val="Normal"/>
        <w:numPr>
          <w:ilvl w:val="0"/>
          <w:numId w:val="1"/>
        </w:numPr>
        <w:spacing w:before="0" w:after="0"/>
        <w:contextualSpacing/>
        <w:rPr>
          <w:sz w:val="22"/>
          <w:szCs w:val="22"/>
        </w:rPr>
      </w:pPr>
      <w:r>
        <w:rPr>
          <w:rFonts w:eastAsia="Times New Roman"/>
          <w:i w:val="false"/>
          <w:iCs w:val="false"/>
          <w:color w:val="000000"/>
          <w:sz w:val="22"/>
          <w:szCs w:val="22"/>
          <w:lang w:eastAsia="ru-RU"/>
        </w:rPr>
        <w:t>Відповідність, чи невідповідність запропонованих товарів</w:t>
      </w:r>
      <w:r>
        <w:rPr>
          <w:rFonts w:eastAsia="Times New Roman"/>
          <w:i w:val="false"/>
          <w:iCs w:val="false"/>
          <w:sz w:val="22"/>
          <w:szCs w:val="22"/>
          <w:lang w:eastAsia="ru-RU"/>
        </w:rPr>
        <w:t xml:space="preserve">, технічним, якісним та кількісним </w:t>
      </w:r>
      <w:r>
        <w:rPr>
          <w:rFonts w:eastAsia="Times New Roman"/>
          <w:i w:val="false"/>
          <w:iCs w:val="false"/>
          <w:color w:val="000000"/>
          <w:sz w:val="22"/>
          <w:szCs w:val="22"/>
          <w:lang w:eastAsia="ru-RU"/>
        </w:rPr>
        <w:t xml:space="preserve">вимогам повинна бути підтверджена наданням </w:t>
      </w:r>
      <w:r>
        <w:rPr>
          <w:rFonts w:eastAsia="Times New Roman"/>
          <w:b/>
          <w:i w:val="false"/>
          <w:iCs w:val="false"/>
          <w:color w:val="000000"/>
          <w:sz w:val="22"/>
          <w:szCs w:val="22"/>
          <w:lang w:eastAsia="ru-RU"/>
        </w:rPr>
        <w:t xml:space="preserve">таблиці відповідності №1, </w:t>
      </w:r>
      <w:r>
        <w:rPr>
          <w:rFonts w:eastAsia="Times New Roman"/>
          <w:i w:val="false"/>
          <w:iCs w:val="false"/>
          <w:color w:val="000000"/>
          <w:sz w:val="22"/>
          <w:szCs w:val="22"/>
          <w:lang w:eastAsia="ru-RU"/>
        </w:rPr>
        <w:t xml:space="preserve">із </w:t>
      </w:r>
      <w:r>
        <w:rPr>
          <w:rFonts w:eastAsia="Times New Roman"/>
          <w:i w:val="false"/>
          <w:iCs w:val="false"/>
          <w:sz w:val="22"/>
          <w:szCs w:val="22"/>
          <w:lang w:eastAsia="ru-RU"/>
        </w:rPr>
        <w:t>посиланням на сторінку документації в інструкції з експлуатації, або в паспорті, або в технічному описі, або в іншій офіційній документації виробника.</w:t>
      </w:r>
    </w:p>
    <w:p>
      <w:pPr>
        <w:pStyle w:val="Normal"/>
        <w:numPr>
          <w:ilvl w:val="0"/>
          <w:numId w:val="1"/>
        </w:numPr>
        <w:spacing w:before="0" w:after="0"/>
        <w:contextualSpacing/>
        <w:rPr>
          <w:sz w:val="22"/>
          <w:szCs w:val="22"/>
        </w:rPr>
      </w:pPr>
      <w:r>
        <w:rPr>
          <w:rFonts w:eastAsia="Times New Roman"/>
          <w:i w:val="false"/>
          <w:iCs w:val="false"/>
          <w:sz w:val="22"/>
          <w:szCs w:val="22"/>
          <w:lang w:eastAsia="ru-RU"/>
        </w:rPr>
        <w:t xml:space="preserve">Для підтвердження вказаних медико-технічних параметрів надається </w:t>
      </w:r>
      <w:r>
        <w:rPr>
          <w:rFonts w:eastAsia="Times New Roman"/>
          <w:b/>
          <w:i w:val="false"/>
          <w:iCs w:val="false"/>
          <w:spacing w:val="-2"/>
          <w:sz w:val="22"/>
          <w:szCs w:val="22"/>
          <w:lang w:eastAsia="ru-RU"/>
        </w:rPr>
        <w:t>скан-копія д</w:t>
      </w:r>
      <w:r>
        <w:rPr>
          <w:rFonts w:eastAsia="Times New Roman"/>
          <w:b/>
          <w:i w:val="false"/>
          <w:iCs w:val="false"/>
          <w:sz w:val="22"/>
          <w:szCs w:val="22"/>
          <w:lang w:eastAsia="ru-RU"/>
        </w:rPr>
        <w:t xml:space="preserve">окументів </w:t>
      </w:r>
      <w:r>
        <w:rPr>
          <w:rFonts w:eastAsia="Times New Roman"/>
          <w:i w:val="false"/>
          <w:iCs w:val="false"/>
          <w:color w:val="00000A"/>
          <w:sz w:val="22"/>
          <w:szCs w:val="22"/>
          <w:lang w:eastAsia="ru-RU"/>
        </w:rPr>
        <w:t>(викладених  українською мовою)</w:t>
      </w:r>
      <w:r>
        <w:rPr>
          <w:rFonts w:eastAsia="Times New Roman"/>
          <w:b/>
          <w:i w:val="false"/>
          <w:iCs w:val="false"/>
          <w:sz w:val="22"/>
          <w:szCs w:val="22"/>
          <w:lang w:eastAsia="ru-RU"/>
        </w:rPr>
        <w:t xml:space="preserve">, </w:t>
      </w:r>
      <w:r>
        <w:rPr>
          <w:rFonts w:eastAsia="Times New Roman"/>
          <w:i w:val="false"/>
          <w:iCs w:val="false"/>
          <w:sz w:val="22"/>
          <w:szCs w:val="22"/>
          <w:lang w:eastAsia="ru-RU"/>
        </w:rPr>
        <w:t>які підтверджують відповідність реактивів, а саме: інструкції з експлуатації або сертифікатів, або паспортів, або інших технічних документів.</w:t>
      </w:r>
    </w:p>
    <w:p>
      <w:pPr>
        <w:pStyle w:val="Normal"/>
        <w:numPr>
          <w:ilvl w:val="0"/>
          <w:numId w:val="1"/>
        </w:numPr>
        <w:spacing w:before="0" w:after="0"/>
        <w:contextualSpacing/>
        <w:rPr>
          <w:sz w:val="22"/>
          <w:szCs w:val="22"/>
        </w:rPr>
      </w:pPr>
      <w:r>
        <w:rPr>
          <w:rFonts w:eastAsia="Times New Roman"/>
          <w:b/>
          <w:i w:val="false"/>
          <w:iCs w:val="false"/>
          <w:color w:val="00000A"/>
          <w:sz w:val="22"/>
          <w:szCs w:val="22"/>
          <w:lang w:eastAsia="ru-RU"/>
        </w:rPr>
        <w:t>Гарантійний лист</w:t>
      </w:r>
      <w:r>
        <w:rPr>
          <w:rFonts w:eastAsia="Times New Roman"/>
          <w:i w:val="false"/>
          <w:iCs w:val="false"/>
          <w:color w:val="00000A"/>
          <w:sz w:val="22"/>
          <w:szCs w:val="22"/>
          <w:lang w:eastAsia="ru-RU"/>
        </w:rPr>
        <w:t>, що при постачанні будуть в наявності</w:t>
      </w:r>
      <w:r>
        <w:rPr>
          <w:rFonts w:eastAsia="Times New Roman"/>
          <w:i w:val="false"/>
          <w:iCs w:val="false"/>
          <w:sz w:val="22"/>
          <w:szCs w:val="22"/>
          <w:lang w:eastAsia="ru-RU"/>
        </w:rPr>
        <w:t xml:space="preserve"> </w:t>
      </w:r>
      <w:r>
        <w:rPr>
          <w:rFonts w:eastAsia="Times New Roman"/>
          <w:i w:val="false"/>
          <w:iCs w:val="false"/>
          <w:color w:val="00000A"/>
          <w:sz w:val="22"/>
          <w:szCs w:val="22"/>
          <w:lang w:eastAsia="ru-RU"/>
        </w:rPr>
        <w:t>інструкції з використання, сертифікати, дозвільні документі відповідно до вимог законодавства</w:t>
      </w:r>
      <w:r>
        <w:rPr>
          <w:rFonts w:eastAsia="Times New Roman"/>
          <w:i w:val="false"/>
          <w:iCs w:val="false"/>
          <w:sz w:val="22"/>
          <w:szCs w:val="22"/>
          <w:lang w:eastAsia="ru-RU"/>
        </w:rPr>
        <w:t xml:space="preserve"> </w:t>
      </w:r>
      <w:r>
        <w:rPr>
          <w:rFonts w:eastAsia="Times New Roman"/>
          <w:i w:val="false"/>
          <w:iCs w:val="false"/>
          <w:color w:val="00000A"/>
          <w:sz w:val="22"/>
          <w:szCs w:val="22"/>
          <w:lang w:eastAsia="ru-RU"/>
        </w:rPr>
        <w:t>(викладені українською мовою), встановленим до нього загальнообов'язковими на території України нормами і правилами</w:t>
      </w:r>
      <w:r>
        <w:rPr>
          <w:rFonts w:eastAsia="Times New Roman"/>
          <w:i w:val="false"/>
          <w:iCs w:val="false"/>
          <w:sz w:val="22"/>
          <w:szCs w:val="22"/>
          <w:lang w:eastAsia="ru-RU"/>
        </w:rPr>
        <w:t xml:space="preserve"> </w:t>
      </w:r>
      <w:r>
        <w:rPr>
          <w:rFonts w:eastAsia="Times New Roman"/>
          <w:i w:val="false"/>
          <w:iCs w:val="false"/>
          <w:color w:val="00000A"/>
          <w:sz w:val="22"/>
          <w:szCs w:val="22"/>
          <w:lang w:eastAsia="ru-RU"/>
        </w:rPr>
        <w:t>або інші офіційні технічні документи від виробника Товару.</w:t>
      </w:r>
    </w:p>
    <w:p>
      <w:pPr>
        <w:pStyle w:val="Normal"/>
        <w:numPr>
          <w:ilvl w:val="0"/>
          <w:numId w:val="1"/>
        </w:numPr>
        <w:spacing w:before="0" w:after="0"/>
        <w:contextualSpacing/>
        <w:rPr>
          <w:highlight w:val="none"/>
          <w:shd w:fill="auto" w:val="clear"/>
        </w:rPr>
      </w:pPr>
      <w:r>
        <w:rPr>
          <w:rFonts w:eastAsia="Times New Roman"/>
          <w:b/>
          <w:i w:val="false"/>
          <w:iCs w:val="false"/>
          <w:color w:val="00000A"/>
          <w:sz w:val="22"/>
          <w:szCs w:val="22"/>
          <w:shd w:fill="auto" w:val="clear"/>
          <w:lang w:eastAsia="ru-RU"/>
        </w:rPr>
        <w:t xml:space="preserve"> </w:t>
      </w:r>
      <w:r>
        <w:rPr>
          <w:rFonts w:eastAsia="Times New Roman"/>
          <w:b/>
          <w:i w:val="false"/>
          <w:iCs w:val="false"/>
          <w:color w:val="000000"/>
          <w:sz w:val="22"/>
          <w:szCs w:val="22"/>
          <w:shd w:fill="auto" w:val="clear"/>
          <w:lang w:eastAsia="ru-RU"/>
        </w:rPr>
        <w:t>Гарантійний лист</w:t>
      </w:r>
      <w:r>
        <w:rPr>
          <w:rFonts w:eastAsia="Times New Roman"/>
          <w:i w:val="false"/>
          <w:iCs w:val="false"/>
          <w:color w:val="000000"/>
          <w:kern w:val="2"/>
          <w:sz w:val="22"/>
          <w:szCs w:val="22"/>
          <w:shd w:fill="auto" w:val="clear"/>
          <w:lang w:eastAsia="ru-RU"/>
        </w:rPr>
        <w:t xml:space="preserve">, щодо </w:t>
      </w:r>
      <w:r>
        <w:rPr>
          <w:rFonts w:eastAsia="Times New Roman"/>
          <w:i w:val="false"/>
          <w:iCs w:val="false"/>
          <w:color w:val="000000"/>
          <w:sz w:val="22"/>
          <w:szCs w:val="22"/>
          <w:shd w:fill="auto" w:val="clear"/>
          <w:lang w:eastAsia="ru-RU"/>
        </w:rPr>
        <w:t>п</w:t>
      </w:r>
      <w:r>
        <w:rPr>
          <w:rFonts w:eastAsia="Times New Roman"/>
          <w:i w:val="false"/>
          <w:iCs w:val="false"/>
          <w:color w:val="000000"/>
          <w:sz w:val="22"/>
          <w:szCs w:val="22"/>
          <w:shd w:fill="auto" w:val="clear"/>
          <w:lang w:val="ru-RU" w:eastAsia="ru-RU"/>
        </w:rPr>
        <w:t>оставк</w:t>
      </w:r>
      <w:r>
        <w:rPr>
          <w:rFonts w:eastAsia="Times New Roman"/>
          <w:i w:val="false"/>
          <w:iCs w:val="false"/>
          <w:color w:val="000000"/>
          <w:sz w:val="22"/>
          <w:szCs w:val="22"/>
          <w:shd w:fill="auto" w:val="clear"/>
          <w:lang w:eastAsia="ru-RU"/>
        </w:rPr>
        <w:t>и</w:t>
      </w:r>
      <w:r>
        <w:rPr>
          <w:rFonts w:eastAsia="Times New Roman"/>
          <w:i w:val="false"/>
          <w:iCs w:val="false"/>
          <w:color w:val="000000"/>
          <w:sz w:val="22"/>
          <w:szCs w:val="22"/>
          <w:shd w:fill="auto" w:val="clear"/>
          <w:lang w:val="ru-RU" w:eastAsia="ru-RU"/>
        </w:rPr>
        <w:t xml:space="preserve"> товару</w:t>
      </w:r>
      <w:r>
        <w:rPr>
          <w:rFonts w:eastAsia="Times New Roman"/>
          <w:i w:val="false"/>
          <w:iCs w:val="false"/>
          <w:color w:val="000000"/>
          <w:sz w:val="22"/>
          <w:szCs w:val="22"/>
          <w:shd w:fill="auto" w:val="clear"/>
          <w:lang w:eastAsia="ru-RU"/>
        </w:rPr>
        <w:t>, яка</w:t>
      </w:r>
      <w:r>
        <w:rPr>
          <w:rFonts w:eastAsia="Times New Roman"/>
          <w:i w:val="false"/>
          <w:iCs w:val="false"/>
          <w:color w:val="000000"/>
          <w:sz w:val="22"/>
          <w:szCs w:val="22"/>
          <w:shd w:fill="auto" w:val="clear"/>
          <w:lang w:val="ru-RU" w:eastAsia="ru-RU"/>
        </w:rPr>
        <w:t xml:space="preserve"> повинна здійснюватися у строк до </w:t>
      </w:r>
      <w:r>
        <w:rPr>
          <w:rFonts w:eastAsia="Times New Roman"/>
          <w:i w:val="false"/>
          <w:iCs w:val="false"/>
          <w:color w:val="000000"/>
          <w:sz w:val="22"/>
          <w:szCs w:val="22"/>
          <w:shd w:fill="auto" w:val="clear"/>
          <w:lang w:eastAsia="ru-RU"/>
        </w:rPr>
        <w:t>10</w:t>
      </w:r>
      <w:r>
        <w:rPr>
          <w:rFonts w:eastAsia="Times New Roman"/>
          <w:i w:val="false"/>
          <w:iCs w:val="false"/>
          <w:color w:val="000000"/>
          <w:sz w:val="22"/>
          <w:szCs w:val="22"/>
          <w:shd w:fill="auto" w:val="clear"/>
          <w:lang w:val="ru-RU" w:eastAsia="ru-RU"/>
        </w:rPr>
        <w:t xml:space="preserve"> (</w:t>
      </w:r>
      <w:r>
        <w:rPr>
          <w:rFonts w:eastAsia="Times New Roman"/>
          <w:i w:val="false"/>
          <w:iCs w:val="false"/>
          <w:color w:val="000000"/>
          <w:sz w:val="22"/>
          <w:szCs w:val="22"/>
          <w:shd w:fill="auto" w:val="clear"/>
          <w:lang w:eastAsia="ru-RU"/>
        </w:rPr>
        <w:t>десяти</w:t>
      </w:r>
      <w:r>
        <w:rPr>
          <w:rFonts w:eastAsia="Times New Roman"/>
          <w:i w:val="false"/>
          <w:iCs w:val="false"/>
          <w:color w:val="000000"/>
          <w:sz w:val="22"/>
          <w:szCs w:val="22"/>
          <w:shd w:fill="auto" w:val="clear"/>
          <w:lang w:val="ru-RU" w:eastAsia="ru-RU"/>
        </w:rPr>
        <w:t>) робочих днів з моменту отримання заявки від Замовника.</w:t>
      </w:r>
      <w:r>
        <w:rPr>
          <w:rFonts w:eastAsia="Times New Roman"/>
          <w:i w:val="false"/>
          <w:iCs w:val="false"/>
          <w:color w:val="000000"/>
          <w:kern w:val="2"/>
          <w:sz w:val="22"/>
          <w:szCs w:val="22"/>
          <w:shd w:fill="auto" w:val="clear"/>
          <w:lang w:eastAsia="ru-RU"/>
        </w:rPr>
        <w:t xml:space="preserve"> Товар повинен передаватися Замовнику в упаковці підприємства виробника, яка не повинна бути деформованою або пошкодженою. Обов’язкова заміна товару (протягом 10-ти днів) , що не відповідає вимогам щодо якості,  усі витрати пов’язані із заміною несе Учасник.</w:t>
      </w:r>
    </w:p>
    <w:p>
      <w:pPr>
        <w:pStyle w:val="Normal"/>
        <w:numPr>
          <w:ilvl w:val="0"/>
          <w:numId w:val="1"/>
        </w:numPr>
        <w:spacing w:before="0" w:after="0"/>
        <w:contextualSpacing/>
        <w:rPr>
          <w:sz w:val="22"/>
          <w:szCs w:val="22"/>
        </w:rPr>
      </w:pPr>
      <w:r>
        <w:rPr>
          <w:rFonts w:eastAsia="Times New Roman"/>
          <w:b/>
          <w:i w:val="false"/>
          <w:iCs w:val="false"/>
          <w:sz w:val="22"/>
          <w:szCs w:val="22"/>
          <w:lang w:eastAsia="ru-RU"/>
        </w:rPr>
        <w:t>Гарантійний лист</w:t>
      </w:r>
      <w:r>
        <w:rPr>
          <w:rFonts w:eastAsia="Times New Roman"/>
          <w:i w:val="false"/>
          <w:iCs w:val="false"/>
          <w:sz w:val="22"/>
          <w:szCs w:val="22"/>
          <w:lang w:val="ru-RU" w:eastAsia="ru-RU"/>
        </w:rPr>
        <w:t xml:space="preserve"> </w:t>
      </w:r>
      <w:r>
        <w:rPr>
          <w:rFonts w:eastAsia="Times New Roman"/>
          <w:i w:val="false"/>
          <w:iCs w:val="false"/>
          <w:sz w:val="22"/>
          <w:szCs w:val="22"/>
          <w:lang w:eastAsia="ru-RU"/>
        </w:rPr>
        <w:t>щодо постачання товару, що є предметом закупівлі здійснюється транспортом та за рахунок Постачальника за адресою Замовника.</w:t>
      </w:r>
      <w:r>
        <w:rPr>
          <w:rFonts w:eastAsia="Times New Roman"/>
          <w:i w:val="false"/>
          <w:iCs w:val="false"/>
          <w:sz w:val="22"/>
          <w:szCs w:val="22"/>
          <w:lang w:val="ru-RU" w:eastAsia="ru-RU"/>
        </w:rPr>
        <w:t xml:space="preserve"> </w:t>
      </w:r>
      <w:r>
        <w:rPr>
          <w:rFonts w:eastAsia="Times New Roman"/>
          <w:i w:val="false"/>
          <w:iCs w:val="false"/>
          <w:sz w:val="22"/>
          <w:szCs w:val="22"/>
          <w:lang w:eastAsia="ru-RU"/>
        </w:rPr>
        <w:t>Розвантаження товару здійснюється за рахунок та силами Учасника.</w:t>
      </w:r>
    </w:p>
    <w:p>
      <w:pPr>
        <w:pStyle w:val="Normal"/>
        <w:numPr>
          <w:ilvl w:val="0"/>
          <w:numId w:val="1"/>
        </w:numPr>
        <w:spacing w:before="0" w:after="0"/>
        <w:contextualSpacing/>
        <w:rPr>
          <w:sz w:val="22"/>
          <w:szCs w:val="22"/>
        </w:rPr>
      </w:pPr>
      <w:r>
        <w:rPr>
          <w:rFonts w:eastAsia="Times New Roman"/>
          <w:b/>
          <w:i w:val="false"/>
          <w:iCs w:val="false"/>
          <w:sz w:val="22"/>
          <w:szCs w:val="22"/>
          <w:lang w:eastAsia="ru-RU"/>
        </w:rPr>
        <w:t>Гарантійний лист</w:t>
      </w:r>
      <w:r>
        <w:rPr>
          <w:rFonts w:eastAsia="Times New Roman"/>
          <w:i w:val="false"/>
          <w:iCs w:val="false"/>
          <w:sz w:val="22"/>
          <w:szCs w:val="22"/>
          <w:lang w:eastAsia="ru-RU"/>
        </w:rPr>
        <w:t xml:space="preserve"> у довільній формі</w:t>
      </w:r>
      <w:r>
        <w:rPr>
          <w:rFonts w:eastAsia="Times New Roman"/>
          <w:i w:val="false"/>
          <w:iCs w:val="false"/>
          <w:kern w:val="2"/>
          <w:sz w:val="22"/>
          <w:szCs w:val="22"/>
          <w:lang w:eastAsia="ru-RU"/>
        </w:rPr>
        <w:t xml:space="preserve"> щодо відповідності товару нормам із захисту довкілля</w:t>
      </w:r>
      <w:r>
        <w:rPr>
          <w:rFonts w:eastAsia="Times New Roman"/>
          <w:i w:val="false"/>
          <w:iCs w:val="false"/>
          <w:sz w:val="22"/>
          <w:szCs w:val="22"/>
          <w:lang w:eastAsia="ru-RU"/>
        </w:rPr>
        <w:t>.</w:t>
      </w:r>
    </w:p>
    <w:p>
      <w:pPr>
        <w:pStyle w:val="Normal"/>
        <w:numPr>
          <w:ilvl w:val="0"/>
          <w:numId w:val="1"/>
        </w:numPr>
        <w:spacing w:before="0" w:after="0"/>
        <w:contextualSpacing/>
        <w:rPr>
          <w:sz w:val="22"/>
          <w:szCs w:val="22"/>
        </w:rPr>
      </w:pPr>
      <w:r>
        <w:rPr>
          <w:rFonts w:eastAsia="Times New Roman" w:cs="Times New Roman"/>
          <w:i w:val="false"/>
          <w:iCs w:val="false"/>
          <w:color w:val="000000"/>
          <w:sz w:val="22"/>
          <w:szCs w:val="22"/>
          <w:lang w:val="uk-UA" w:eastAsia="ru-RU"/>
        </w:rPr>
        <w:t>Запропоновані вироби повинні бути дозволені до застосування на території України (</w:t>
      </w:r>
      <w:r>
        <w:rPr>
          <w:rFonts w:eastAsia="Times New Roman" w:cs="Times New Roman"/>
          <w:b/>
          <w:bCs/>
          <w:i w:val="false"/>
          <w:iCs w:val="false"/>
          <w:color w:val="000000"/>
          <w:sz w:val="22"/>
          <w:szCs w:val="22"/>
          <w:lang w:val="uk-UA" w:eastAsia="ru-RU"/>
        </w:rPr>
        <w:t>надати завірені копії</w:t>
      </w:r>
      <w:r>
        <w:rPr>
          <w:rFonts w:eastAsia="Times New Roman" w:cs="Times New Roman"/>
          <w:i w:val="false"/>
          <w:iCs w:val="false"/>
          <w:color w:val="000000"/>
          <w:sz w:val="22"/>
          <w:szCs w:val="22"/>
          <w:lang w:val="uk-UA" w:eastAsia="ru-RU"/>
        </w:rPr>
        <w:t xml:space="preserve"> Свідоцтв про державну реєстрацію на кожне найменування з переліку виробів, що свідчать про їх наявність в Державному реєстрі медичної техніки та виробів медичного призначення, або завірені копії декларації або копії документів, що підтверджують можливість застосування медичного виробу за результатами проходження процедури оцінки відповідності згідно вимог Технічного регламенту, затвердженого Постановою </w:t>
      </w:r>
      <w:r>
        <w:rPr>
          <w:rFonts w:eastAsia="Times New Roman" w:cs="Times New Roman"/>
          <w:i w:val="false"/>
          <w:iCs w:val="false"/>
          <w:color w:val="000000"/>
          <w:sz w:val="22"/>
          <w:szCs w:val="22"/>
          <w:lang w:eastAsia="ru-RU"/>
        </w:rPr>
        <w:t>КМУ від 02.10.2013 р. № 75</w:t>
      </w:r>
      <w:r>
        <w:rPr>
          <w:rFonts w:eastAsia="Times New Roman" w:cs="Times New Roman"/>
          <w:i w:val="false"/>
          <w:iCs w:val="false"/>
          <w:color w:val="000000"/>
          <w:sz w:val="22"/>
          <w:szCs w:val="22"/>
          <w:lang w:val="uk-UA" w:eastAsia="ru-RU"/>
        </w:rPr>
        <w:t>4</w:t>
      </w:r>
      <w:r>
        <w:rPr>
          <w:rFonts w:eastAsia="Times New Roman" w:cs="Times New Roman"/>
          <w:i w:val="false"/>
          <w:iCs w:val="false"/>
          <w:color w:val="000000"/>
          <w:sz w:val="22"/>
          <w:szCs w:val="22"/>
          <w:lang w:eastAsia="ru-RU"/>
        </w:rPr>
        <w:t xml:space="preserve"> «Про затвердження Технічного регламенту щодо медичних виробів»).</w:t>
      </w:r>
    </w:p>
    <w:p>
      <w:pPr>
        <w:pStyle w:val="Normal"/>
        <w:numPr>
          <w:ilvl w:val="0"/>
          <w:numId w:val="1"/>
        </w:numPr>
        <w:spacing w:before="0" w:after="0"/>
        <w:contextualSpacing/>
        <w:rPr>
          <w:sz w:val="22"/>
          <w:szCs w:val="22"/>
        </w:rPr>
      </w:pPr>
      <w:r>
        <w:rPr>
          <w:rFonts w:eastAsia="Times New Roman"/>
          <w:i w:val="false"/>
          <w:iCs w:val="false"/>
          <w:sz w:val="22"/>
          <w:szCs w:val="22"/>
          <w:lang w:val="ru-RU" w:eastAsia="ru-RU"/>
        </w:rPr>
        <w:t xml:space="preserve">Строк придатності товару, що є предметом закупівлі на момент поставки Замовнику повинен становити не менше </w:t>
      </w:r>
      <w:r>
        <w:rPr>
          <w:rFonts w:eastAsia="Times New Roman"/>
          <w:i w:val="false"/>
          <w:iCs w:val="false"/>
          <w:sz w:val="22"/>
          <w:szCs w:val="22"/>
          <w:lang w:eastAsia="ru-RU"/>
        </w:rPr>
        <w:t>8</w:t>
      </w:r>
      <w:r>
        <w:rPr>
          <w:rFonts w:eastAsia="Times New Roman"/>
          <w:i w:val="false"/>
          <w:iCs w:val="false"/>
          <w:sz w:val="22"/>
          <w:szCs w:val="22"/>
          <w:lang w:val="ru-RU" w:eastAsia="ru-RU"/>
        </w:rPr>
        <w:t>0%</w:t>
      </w:r>
      <w:r>
        <w:rPr>
          <w:rFonts w:eastAsia="Times New Roman"/>
          <w:i w:val="false"/>
          <w:iCs w:val="false"/>
          <w:sz w:val="22"/>
          <w:szCs w:val="22"/>
          <w:lang w:eastAsia="ru-RU"/>
        </w:rPr>
        <w:t xml:space="preserve"> </w:t>
      </w:r>
      <w:r>
        <w:rPr>
          <w:rFonts w:eastAsia="Times New Roman"/>
          <w:b/>
          <w:bCs/>
          <w:i w:val="false"/>
          <w:iCs w:val="false"/>
          <w:sz w:val="22"/>
          <w:szCs w:val="22"/>
          <w:lang w:eastAsia="ru-RU"/>
        </w:rPr>
        <w:t>(</w:t>
      </w:r>
      <w:r>
        <w:rPr>
          <w:rFonts w:eastAsia="Times New Roman"/>
          <w:i w:val="false"/>
          <w:iCs w:val="false"/>
          <w:sz w:val="22"/>
          <w:szCs w:val="22"/>
          <w:lang w:eastAsia="ru-RU"/>
        </w:rPr>
        <w:t>Г</w:t>
      </w:r>
      <w:r>
        <w:rPr>
          <w:rFonts w:eastAsia="Times New Roman"/>
          <w:b/>
          <w:i w:val="false"/>
          <w:iCs w:val="false"/>
          <w:sz w:val="22"/>
          <w:szCs w:val="22"/>
          <w:lang w:eastAsia="ru-RU"/>
        </w:rPr>
        <w:t>арантійний лист)</w:t>
      </w:r>
      <w:r>
        <w:rPr>
          <w:rFonts w:eastAsia="Times New Roman"/>
          <w:i w:val="false"/>
          <w:iCs w:val="false"/>
          <w:sz w:val="22"/>
          <w:szCs w:val="22"/>
          <w:lang w:eastAsia="ru-RU"/>
        </w:rPr>
        <w:t>.</w:t>
      </w:r>
    </w:p>
    <w:p>
      <w:pPr>
        <w:pStyle w:val="Normal"/>
        <w:numPr>
          <w:ilvl w:val="0"/>
          <w:numId w:val="1"/>
        </w:numPr>
        <w:spacing w:before="0" w:after="0"/>
        <w:contextualSpacing/>
        <w:rPr>
          <w:sz w:val="22"/>
          <w:szCs w:val="22"/>
        </w:rPr>
      </w:pPr>
      <w:r>
        <w:rPr>
          <w:rFonts w:eastAsia="Times New Roman" w:cs="Times New Roman"/>
          <w:i w:val="false"/>
          <w:iCs w:val="false"/>
          <w:color w:val="000000"/>
          <w:sz w:val="22"/>
          <w:szCs w:val="22"/>
          <w:lang w:eastAsia="ru-RU"/>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(виданий в Україні),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 Документ, що засвідчує якість товару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тощо), встановлений діючим законодавством на запропоновану продукцію</w:t>
      </w:r>
      <w:r>
        <w:rPr>
          <w:rFonts w:eastAsia="Times New Roman" w:cs="Times New Roman"/>
          <w:i w:val="false"/>
          <w:iCs w:val="false"/>
          <w:color w:val="000000"/>
          <w:sz w:val="22"/>
          <w:szCs w:val="22"/>
          <w:lang w:val="uk-UA" w:eastAsia="ru-RU"/>
        </w:rPr>
        <w:t>.</w:t>
      </w:r>
    </w:p>
    <w:p>
      <w:pPr>
        <w:pStyle w:val="Normal"/>
        <w:numPr>
          <w:ilvl w:val="0"/>
          <w:numId w:val="1"/>
        </w:numPr>
        <w:spacing w:before="0" w:after="0"/>
        <w:contextualSpacing/>
        <w:rPr>
          <w:sz w:val="22"/>
          <w:szCs w:val="22"/>
        </w:rPr>
      </w:pPr>
      <w:r>
        <w:rPr>
          <w:rFonts w:eastAsia="Times New Roman"/>
          <w:i w:val="false"/>
          <w:iCs w:val="false"/>
          <w:sz w:val="22"/>
          <w:szCs w:val="22"/>
          <w:lang w:eastAsia="ru-RU"/>
        </w:rPr>
        <w:t>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гарантійнійного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p>
      <w:pPr>
        <w:pStyle w:val="Normal"/>
        <w:numPr>
          <w:ilvl w:val="0"/>
          <w:numId w:val="1"/>
        </w:numPr>
        <w:spacing w:before="0" w:after="0"/>
        <w:contextualSpacing/>
        <w:rPr>
          <w:sz w:val="22"/>
          <w:szCs w:val="22"/>
        </w:rPr>
      </w:pPr>
      <w:r>
        <w:rPr>
          <w:rFonts w:eastAsia="Times New Roman" w:cs="Times New Roman"/>
          <w:i w:val="false"/>
          <w:iCs w:val="false"/>
          <w:color w:val="000000"/>
          <w:sz w:val="22"/>
          <w:szCs w:val="22"/>
          <w:lang w:eastAsia="ru-RU"/>
        </w:rPr>
        <w:t>Строк придатності товарів на момент постачання повинен складати</w:t>
      </w:r>
      <w:r>
        <w:rPr>
          <w:rFonts w:eastAsia="Times New Roman" w:cs="Times New Roman"/>
          <w:color w:val="000000"/>
          <w:sz w:val="22"/>
          <w:szCs w:val="22"/>
          <w:lang w:eastAsia="ru-RU"/>
        </w:rPr>
        <w:t xml:space="preserve"> не менше 80% загального терміну їх зберігання, встановленого в інструкції по використанню.</w:t>
      </w:r>
      <w:r>
        <w:rPr>
          <w:rFonts w:eastAsia="Times New Roman"/>
          <w:i/>
          <w:sz w:val="22"/>
          <w:szCs w:val="22"/>
          <w:lang w:val="uk-UA" w:eastAsia="ru-RU"/>
        </w:rPr>
        <w:t xml:space="preserve"> (Г</w:t>
      </w:r>
      <w:r>
        <w:rPr>
          <w:rFonts w:eastAsia="Times New Roman"/>
          <w:b/>
          <w:i/>
          <w:sz w:val="22"/>
          <w:szCs w:val="22"/>
          <w:lang w:val="uk-UA" w:eastAsia="ru-RU"/>
        </w:rPr>
        <w:t>арантійний лист)</w:t>
      </w:r>
      <w:r>
        <w:rPr>
          <w:rFonts w:eastAsia="Times New Roman"/>
          <w:i/>
          <w:sz w:val="22"/>
          <w:szCs w:val="22"/>
          <w:lang w:val="uk-UA" w:eastAsia="ru-RU"/>
        </w:rPr>
        <w:t>.</w:t>
      </w:r>
    </w:p>
    <w:p>
      <w:pPr>
        <w:pStyle w:val="Normal"/>
        <w:numPr>
          <w:ilvl w:val="0"/>
          <w:numId w:val="1"/>
        </w:numPr>
        <w:spacing w:before="0" w:after="0"/>
        <w:contextualSpacing/>
        <w:rPr>
          <w:sz w:val="22"/>
          <w:szCs w:val="22"/>
        </w:rPr>
      </w:pPr>
      <w:r>
        <w:rPr>
          <w:rFonts w:eastAsia="Times New Roman" w:cs="Times New Roman"/>
          <w:color w:val="000000"/>
          <w:sz w:val="22"/>
          <w:szCs w:val="22"/>
          <w:lang w:eastAsia="ru-RU"/>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pPr>
        <w:pStyle w:val="Normal"/>
        <w:numPr>
          <w:ilvl w:val="0"/>
          <w:numId w:val="1"/>
        </w:numPr>
        <w:spacing w:before="0" w:after="0"/>
        <w:contextualSpacing/>
        <w:rPr>
          <w:sz w:val="22"/>
          <w:szCs w:val="22"/>
        </w:rPr>
      </w:pPr>
      <w:r>
        <w:rPr>
          <w:rFonts w:eastAsia="Times New Roman" w:cs="Times New Roman"/>
          <w:color w:val="000000"/>
          <w:sz w:val="22"/>
          <w:szCs w:val="22"/>
          <w:lang w:eastAsia="ru-RU"/>
        </w:rPr>
        <w:t>Товар повинен передаватися Замовнику в упаковці підприємства виробника, яка не повинна бути деформованою або пошкодженою.</w:t>
      </w:r>
    </w:p>
    <w:p>
      <w:pPr>
        <w:pStyle w:val="Normal"/>
        <w:numPr>
          <w:ilvl w:val="0"/>
          <w:numId w:val="1"/>
        </w:numPr>
        <w:spacing w:before="0" w:after="0"/>
        <w:contextualSpacing/>
        <w:rPr>
          <w:sz w:val="22"/>
          <w:szCs w:val="22"/>
        </w:rPr>
      </w:pPr>
      <w:r>
        <w:rPr>
          <w:rFonts w:eastAsia="Times New Roman" w:cs="Times New Roman"/>
          <w:color w:val="000000"/>
          <w:sz w:val="22"/>
          <w:szCs w:val="22"/>
          <w:lang w:eastAsia="ru-RU"/>
        </w:rPr>
        <w:t xml:space="preserve">На кожній індивідуальній упаковці повинно бути таке маркування на українській мові: </w:t>
      </w:r>
      <w:r>
        <w:rPr>
          <w:rFonts w:eastAsia="Times New Roman" w:cs="Times New Roman"/>
          <w:i/>
          <w:color w:val="000000"/>
          <w:sz w:val="22"/>
          <w:szCs w:val="22"/>
          <w:lang w:eastAsia="ru-RU"/>
        </w:rPr>
        <w:t>найменування товару, номер серії, дата випуску, термін придатності та інші дані, з необхідними реквізитами виробника,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pPr>
        <w:pStyle w:val="Normal"/>
        <w:widowControl w:val="false"/>
        <w:tabs>
          <w:tab w:val="clear" w:pos="708"/>
          <w:tab w:val="left" w:pos="993" w:leader="none"/>
        </w:tabs>
        <w:ind w:right="295" w:firstLine="567"/>
        <w:rPr>
          <w:rFonts w:eastAsia="Times New Roman"/>
          <w:i/>
          <w:i/>
          <w:sz w:val="22"/>
          <w:szCs w:val="22"/>
          <w:lang w:eastAsia="ru-RU"/>
        </w:rPr>
      </w:pPr>
      <w:r>
        <w:rPr>
          <w:rFonts w:eastAsia="Times New Roman"/>
          <w:i/>
          <w:sz w:val="22"/>
          <w:szCs w:val="22"/>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left"/>
        <w:rPr>
          <w:sz w:val="22"/>
          <w:szCs w:val="22"/>
        </w:rPr>
      </w:pPr>
      <w:r>
        <w:rPr>
          <w:rFonts w:eastAsia="Times New Roman"/>
          <w:i/>
          <w:sz w:val="22"/>
          <w:szCs w:val="22"/>
          <w:lang w:val="ru-RU" w:eastAsia="ru-RU"/>
        </w:rPr>
        <w:tab/>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pPr>
        <w:pStyle w:val="Normal"/>
        <w:rPr>
          <w:sz w:val="22"/>
          <w:szCs w:val="22"/>
          <w:lang w:val="ru-RU"/>
        </w:rPr>
      </w:pPr>
      <w:r>
        <w:rPr>
          <w:sz w:val="22"/>
          <w:szCs w:val="22"/>
          <w:lang w:val="ru-RU"/>
        </w:rPr>
      </w:r>
    </w:p>
    <w:p>
      <w:pPr>
        <w:pStyle w:val="Normal"/>
        <w:rPr>
          <w:sz w:val="22"/>
          <w:szCs w:val="22"/>
          <w:lang w:val="ru-RU"/>
        </w:rPr>
      </w:pPr>
      <w:r>
        <w:rPr>
          <w:sz w:val="22"/>
          <w:szCs w:val="22"/>
          <w:lang w:val="ru-RU"/>
        </w:rPr>
      </w:r>
    </w:p>
    <w:p>
      <w:pPr>
        <w:pStyle w:val="Normal"/>
        <w:spacing w:lineRule="auto" w:line="240"/>
        <w:ind w:firstLine="709"/>
        <w:jc w:val="both"/>
        <w:rPr>
          <w:sz w:val="22"/>
          <w:szCs w:val="22"/>
        </w:rPr>
      </w:pPr>
      <w:r>
        <w:rPr>
          <w:sz w:val="22"/>
          <w:szCs w:val="22"/>
          <w:lang w:val="uk-UA"/>
        </w:rPr>
        <w:t>Ми,</w:t>
      </w:r>
      <w:r>
        <w:rPr>
          <w:b/>
          <w:kern w:val="2"/>
          <w:sz w:val="22"/>
          <w:szCs w:val="22"/>
          <w:lang w:val="uk-UA"/>
        </w:rPr>
        <w:t xml:space="preserve"> (</w:t>
      </w:r>
      <w:r>
        <w:rPr>
          <w:b/>
          <w:kern w:val="2"/>
          <w:sz w:val="22"/>
          <w:szCs w:val="22"/>
          <w:u w:val="single"/>
          <w:lang w:val="uk-UA"/>
        </w:rPr>
        <w:t>Повне найменування Учасника</w:t>
      </w:r>
      <w:r>
        <w:rPr>
          <w:b/>
          <w:kern w:val="2"/>
          <w:sz w:val="22"/>
          <w:szCs w:val="22"/>
          <w:lang w:val="uk-UA"/>
        </w:rPr>
        <w:t>),</w:t>
      </w:r>
      <w:r>
        <w:rPr>
          <w:sz w:val="22"/>
          <w:szCs w:val="22"/>
          <w:lang w:val="uk-UA"/>
        </w:rPr>
        <w:t xml:space="preserve">  у разі визнання нас переможцем Закупівлі  </w:t>
      </w:r>
      <w:r>
        <w:rPr>
          <w:kern w:val="2"/>
          <w:sz w:val="22"/>
          <w:szCs w:val="22"/>
          <w:lang w:val="uk-UA"/>
        </w:rPr>
        <w:t xml:space="preserve">(ідентифікатор закупівлі </w:t>
      </w:r>
      <w:r>
        <w:rPr>
          <w:kern w:val="2"/>
          <w:sz w:val="22"/>
          <w:szCs w:val="22"/>
          <w:u w:val="single"/>
          <w:lang w:val="uk-UA"/>
        </w:rPr>
        <w:t xml:space="preserve">на </w:t>
      </w:r>
      <w:r>
        <w:rPr>
          <w:kern w:val="2"/>
          <w:sz w:val="22"/>
          <w:szCs w:val="22"/>
          <w:u w:val="single"/>
        </w:rPr>
        <w:t>prozorro</w:t>
      </w:r>
      <w:r>
        <w:rPr>
          <w:kern w:val="2"/>
          <w:sz w:val="22"/>
          <w:szCs w:val="22"/>
          <w:u w:val="single"/>
          <w:lang w:val="uk-UA"/>
        </w:rPr>
        <w:t>.</w:t>
      </w:r>
      <w:r>
        <w:rPr>
          <w:kern w:val="2"/>
          <w:sz w:val="22"/>
          <w:szCs w:val="22"/>
          <w:u w:val="single"/>
        </w:rPr>
        <w:t>gov</w:t>
      </w:r>
      <w:r>
        <w:rPr>
          <w:kern w:val="2"/>
          <w:sz w:val="22"/>
          <w:szCs w:val="22"/>
          <w:u w:val="single"/>
          <w:lang w:val="uk-UA"/>
        </w:rPr>
        <w:t>.</w:t>
      </w:r>
      <w:r>
        <w:rPr>
          <w:kern w:val="2"/>
          <w:sz w:val="22"/>
          <w:szCs w:val="22"/>
          <w:u w:val="single"/>
        </w:rPr>
        <w:t>ua</w:t>
      </w:r>
      <w:r>
        <w:rPr>
          <w:kern w:val="2"/>
          <w:sz w:val="22"/>
          <w:szCs w:val="22"/>
          <w:lang w:val="uk-UA"/>
        </w:rPr>
        <w:t>) _____________________</w:t>
      </w:r>
      <w:r>
        <w:rPr>
          <w:sz w:val="22"/>
          <w:szCs w:val="22"/>
          <w:lang w:val="uk-UA"/>
        </w:rPr>
        <w:t>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в цих медико-технічних вимогах до предмета закупівлі.</w:t>
      </w:r>
    </w:p>
    <w:p>
      <w:pPr>
        <w:pStyle w:val="Normal"/>
        <w:spacing w:lineRule="auto" w:line="240" w:before="0" w:after="0"/>
        <w:jc w:val="both"/>
        <w:rPr>
          <w:rFonts w:ascii="Times New Roman" w:hAnsi="Times New Roman" w:eastAsia="Times New Roman" w:cs="Times New Roman"/>
          <w:b/>
          <w:b/>
          <w:sz w:val="22"/>
          <w:szCs w:val="22"/>
          <w:lang w:val="uk-UA"/>
        </w:rPr>
      </w:pPr>
      <w:r>
        <w:rPr>
          <w:rFonts w:eastAsia="Times New Roman" w:cs="Times New Roman"/>
          <w:b/>
          <w:sz w:val="22"/>
          <w:szCs w:val="22"/>
          <w:lang w:val="uk-UA"/>
        </w:rPr>
      </w:r>
    </w:p>
    <w:p>
      <w:pPr>
        <w:pStyle w:val="ListParagraph"/>
        <w:widowControl w:val="false"/>
        <w:suppressAutoHyphens w:val="true"/>
        <w:spacing w:lineRule="auto" w:line="264" w:before="0" w:after="0"/>
        <w:contextualSpacing/>
        <w:jc w:val="both"/>
        <w:rPr>
          <w:sz w:val="22"/>
          <w:szCs w:val="22"/>
        </w:rPr>
      </w:pPr>
      <w:r>
        <w:rPr>
          <w:rFonts w:eastAsia="Times New Roman" w:cs="Times New Roman"/>
          <w:kern w:val="2"/>
          <w:sz w:val="22"/>
          <w:szCs w:val="22"/>
          <w:lang w:eastAsia="uk-UA"/>
        </w:rPr>
        <w:t>*Згода з умовами та вимогами, які визначені у медико-технічних вимогах до товару</w:t>
      </w:r>
      <w:r>
        <w:rPr>
          <w:sz w:val="22"/>
          <w:szCs w:val="22"/>
        </w:rPr>
        <w:t xml:space="preserve"> </w:t>
      </w:r>
      <w:r>
        <w:rPr>
          <w:rFonts w:eastAsia="Times New Roman" w:cs="Times New Roman"/>
          <w:kern w:val="2"/>
          <w:sz w:val="22"/>
          <w:szCs w:val="22"/>
          <w:lang w:eastAsia="uk-UA"/>
        </w:rPr>
        <w:t>та гарантування їх виконання</w:t>
      </w:r>
      <w:r>
        <w:rPr>
          <w:sz w:val="22"/>
          <w:szCs w:val="22"/>
        </w:rPr>
        <w:t xml:space="preserve"> </w:t>
      </w:r>
      <w:r>
        <w:rPr>
          <w:rFonts w:eastAsia="Times New Roman" w:cs="Times New Roman"/>
          <w:kern w:val="2"/>
          <w:sz w:val="22"/>
          <w:szCs w:val="22"/>
          <w:lang w:eastAsia="uk-UA"/>
        </w:rPr>
        <w:t xml:space="preserve">надається  у вигляді підписаного  </w:t>
      </w:r>
      <w:r>
        <w:rPr>
          <w:rFonts w:eastAsia="Times New Roman" w:cs="Times New Roman"/>
          <w:b/>
          <w:i/>
          <w:kern w:val="2"/>
          <w:sz w:val="22"/>
          <w:szCs w:val="22"/>
          <w:lang w:eastAsia="uk-UA"/>
        </w:rPr>
        <w:t xml:space="preserve">Додатку </w:t>
      </w:r>
      <w:r>
        <w:rPr>
          <w:rFonts w:eastAsia="Times New Roman" w:cs="Times New Roman"/>
          <w:b/>
          <w:i/>
          <w:kern w:val="2"/>
          <w:sz w:val="22"/>
          <w:szCs w:val="22"/>
          <w:lang w:val="uk-UA" w:eastAsia="uk-UA"/>
        </w:rPr>
        <w:t>2</w:t>
      </w:r>
      <w:r>
        <w:rPr>
          <w:rFonts w:eastAsia="Times New Roman" w:cs="Times New Roman"/>
          <w:b/>
          <w:i/>
          <w:kern w:val="2"/>
          <w:sz w:val="22"/>
          <w:szCs w:val="22"/>
          <w:lang w:eastAsia="uk-UA"/>
        </w:rPr>
        <w:t xml:space="preserve"> </w:t>
      </w:r>
      <w:r>
        <w:rPr>
          <w:rFonts w:eastAsia="Times New Roman" w:cs="Times New Roman"/>
          <w:kern w:val="2"/>
          <w:sz w:val="22"/>
          <w:szCs w:val="22"/>
          <w:lang w:eastAsia="uk-UA"/>
        </w:rPr>
        <w:t>до тендерної документації.</w:t>
      </w:r>
      <w:r>
        <w:rPr>
          <w:rFonts w:eastAsia="Times New Roman" w:cs="Times New Roman"/>
          <w:b/>
          <w:kern w:val="2"/>
          <w:sz w:val="22"/>
          <w:szCs w:val="22"/>
          <w:lang w:eastAsia="uk-UA"/>
        </w:rPr>
        <w:t xml:space="preserve"> </w:t>
      </w:r>
    </w:p>
    <w:p>
      <w:pPr>
        <w:pStyle w:val="3"/>
        <w:widowControl/>
        <w:suppressAutoHyphens w:val="false"/>
        <w:spacing w:lineRule="auto" w:line="276"/>
        <w:jc w:val="both"/>
        <w:rPr>
          <w:i/>
          <w:i/>
          <w:sz w:val="22"/>
          <w:szCs w:val="22"/>
          <w:shd w:fill="FFFFFF" w:val="clear"/>
          <w:lang w:val="uk-UA" w:eastAsia="en-US"/>
        </w:rPr>
      </w:pPr>
      <w:r>
        <w:rPr>
          <w:i/>
          <w:sz w:val="22"/>
          <w:szCs w:val="22"/>
          <w:shd w:fill="FFFFFF" w:val="clear"/>
          <w:lang w:val="uk-UA" w:eastAsia="en-US"/>
        </w:rPr>
      </w:r>
    </w:p>
    <w:p>
      <w:pPr>
        <w:pStyle w:val="3"/>
        <w:widowControl/>
        <w:pBdr>
          <w:bottom w:val="single" w:sz="12" w:space="1" w:color="000000"/>
        </w:pBdr>
        <w:spacing w:lineRule="auto" w:line="276"/>
        <w:jc w:val="both"/>
        <w:rPr/>
      </w:pPr>
      <w:r>
        <w:rPr>
          <w:rStyle w:val="2"/>
          <w:rFonts w:eastAsia="Arial"/>
          <w:i/>
          <w:iCs/>
          <w:color w:val="000000"/>
          <w:sz w:val="22"/>
          <w:szCs w:val="22"/>
          <w:lang w:val="uk-UA" w:eastAsia="zh-CN"/>
        </w:rPr>
        <w:t xml:space="preserve">Посада, прізвище, ініціали, підпис </w:t>
      </w:r>
      <w:r>
        <w:rPr>
          <w:rStyle w:val="2"/>
          <w:rFonts w:eastAsia="Arial"/>
          <w:i/>
          <w:color w:val="000000"/>
          <w:sz w:val="22"/>
          <w:szCs w:val="22"/>
          <w:lang w:val="uk-UA" w:eastAsia="zh-CN"/>
        </w:rPr>
        <w:t>уповноваженої особи учасника на підписання документів тендерної пропозиції</w:t>
      </w:r>
      <w:r>
        <w:rPr>
          <w:rStyle w:val="2"/>
          <w:rFonts w:eastAsia="Arial"/>
          <w:i/>
          <w:iCs/>
          <w:color w:val="000000"/>
          <w:sz w:val="22"/>
          <w:szCs w:val="22"/>
          <w:lang w:val="uk-UA" w:eastAsia="zh-CN"/>
        </w:rPr>
        <w:t>, завірені печаткою (у разі її використання)</w:t>
      </w:r>
    </w:p>
    <w:p>
      <w:pPr>
        <w:pStyle w:val="Normal"/>
        <w:spacing w:lineRule="auto" w:line="240"/>
        <w:rPr>
          <w:sz w:val="22"/>
          <w:szCs w:val="22"/>
        </w:rPr>
      </w:pPr>
      <w:r>
        <w:rPr/>
      </w:r>
    </w:p>
    <w:sectPr>
      <w:type w:val="nextPage"/>
      <w:pgSz w:w="11906" w:h="16838"/>
      <w:pgMar w:left="1191" w:right="845"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altName w:val="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58"/>
        </w:tabs>
        <w:ind w:left="1058" w:hanging="360"/>
      </w:pPr>
      <w:rPr/>
    </w:lvl>
    <w:lvl w:ilvl="1">
      <w:start w:val="1"/>
      <w:numFmt w:val="decimal"/>
      <w:lvlText w:val="%2."/>
      <w:lvlJc w:val="left"/>
      <w:pPr>
        <w:tabs>
          <w:tab w:val="num" w:pos="1418"/>
        </w:tabs>
        <w:ind w:left="1418" w:hanging="360"/>
      </w:pPr>
      <w:rPr/>
    </w:lvl>
    <w:lvl w:ilvl="2">
      <w:start w:val="1"/>
      <w:numFmt w:val="decimal"/>
      <w:lvlText w:val="%3."/>
      <w:lvlJc w:val="left"/>
      <w:pPr>
        <w:tabs>
          <w:tab w:val="num" w:pos="1778"/>
        </w:tabs>
        <w:ind w:left="1778" w:hanging="360"/>
      </w:pPr>
      <w:rPr/>
    </w:lvl>
    <w:lvl w:ilvl="3">
      <w:start w:val="1"/>
      <w:numFmt w:val="decimal"/>
      <w:lvlText w:val="%4."/>
      <w:lvlJc w:val="left"/>
      <w:pPr>
        <w:tabs>
          <w:tab w:val="num" w:pos="2138"/>
        </w:tabs>
        <w:ind w:left="2138" w:hanging="360"/>
      </w:pPr>
      <w:rPr/>
    </w:lvl>
    <w:lvl w:ilvl="4">
      <w:start w:val="1"/>
      <w:numFmt w:val="decimal"/>
      <w:lvlText w:val="%5."/>
      <w:lvlJc w:val="left"/>
      <w:pPr>
        <w:tabs>
          <w:tab w:val="num" w:pos="2498"/>
        </w:tabs>
        <w:ind w:left="2498" w:hanging="360"/>
      </w:pPr>
      <w:rPr/>
    </w:lvl>
    <w:lvl w:ilvl="5">
      <w:start w:val="1"/>
      <w:numFmt w:val="decimal"/>
      <w:lvlText w:val="%6."/>
      <w:lvlJc w:val="left"/>
      <w:pPr>
        <w:tabs>
          <w:tab w:val="num" w:pos="2858"/>
        </w:tabs>
        <w:ind w:left="2858" w:hanging="360"/>
      </w:pPr>
      <w:rPr/>
    </w:lvl>
    <w:lvl w:ilvl="6">
      <w:start w:val="1"/>
      <w:numFmt w:val="decimal"/>
      <w:lvlText w:val="%7."/>
      <w:lvlJc w:val="left"/>
      <w:pPr>
        <w:tabs>
          <w:tab w:val="num" w:pos="3218"/>
        </w:tabs>
        <w:ind w:left="3218" w:hanging="360"/>
      </w:pPr>
      <w:rPr/>
    </w:lvl>
    <w:lvl w:ilvl="7">
      <w:start w:val="1"/>
      <w:numFmt w:val="decimal"/>
      <w:lvlText w:val="%8."/>
      <w:lvlJc w:val="left"/>
      <w:pPr>
        <w:tabs>
          <w:tab w:val="num" w:pos="3578"/>
        </w:tabs>
        <w:ind w:left="3578" w:hanging="360"/>
      </w:pPr>
      <w:rPr/>
    </w:lvl>
    <w:lvl w:ilvl="8">
      <w:start w:val="1"/>
      <w:numFmt w:val="decimal"/>
      <w:lvlText w:val="%9."/>
      <w:lvlJc w:val="left"/>
      <w:pPr>
        <w:tabs>
          <w:tab w:val="num" w:pos="3938"/>
        </w:tabs>
        <w:ind w:left="3938"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both"/>
    </w:pPr>
    <w:rPr>
      <w:rFonts w:ascii="Times New Roman" w:hAnsi="Times New Roman" w:eastAsia="Calibri" w:cs="Times New Roman" w:eastAsiaTheme="minorHAnsi"/>
      <w:color w:val="auto"/>
      <w:kern w:val="0"/>
      <w:sz w:val="22"/>
      <w:szCs w:val="22"/>
      <w:lang w:val="uk-UA" w:eastAsia="en-US" w:bidi="ar-SA"/>
    </w:rPr>
  </w:style>
  <w:style w:type="paragraph" w:styleId="1">
    <w:name w:val="Heading 1"/>
    <w:basedOn w:val="Normal"/>
    <w:next w:val="Normal"/>
    <w:link w:val="11"/>
    <w:uiPriority w:val="9"/>
    <w:qFormat/>
    <w:rsid w:val="0040169a"/>
    <w:pPr>
      <w:keepNext w:val="true"/>
      <w:keepLines/>
      <w:jc w:val="center"/>
      <w:outlineLvl w:val="0"/>
    </w:pPr>
    <w:rPr>
      <w:rFonts w:eastAsia="" w:cs="" w:cstheme="majorBidi" w:eastAsiaTheme="majorEastAsia"/>
      <w:b/>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40169a"/>
    <w:rPr>
      <w:rFonts w:eastAsia="" w:cs="" w:cstheme="majorBidi" w:eastAsiaTheme="majorEastAsia"/>
      <w:b/>
      <w:szCs w:val="32"/>
      <w:lang w:val="uk-UA"/>
    </w:rPr>
  </w:style>
  <w:style w:type="character" w:styleId="2">
    <w:name w:val="Основной шрифт абзаца2"/>
    <w:qFormat/>
    <w:rPr/>
  </w:style>
  <w:style w:type="character" w:styleId="Style13">
    <w:name w:val="Символ нумерації"/>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lang w:val="zxx" w:eastAsia="zxx" w:bidi="zxx"/>
    </w:rPr>
  </w:style>
  <w:style w:type="paragraph" w:styleId="ListParagraph">
    <w:name w:val="List Paragraph"/>
    <w:basedOn w:val="Normal"/>
    <w:qFormat/>
    <w:pPr>
      <w:spacing w:before="0" w:after="160"/>
      <w:ind w:left="720" w:hanging="0"/>
      <w:contextualSpacing/>
    </w:pPr>
    <w:rPr/>
  </w:style>
  <w:style w:type="paragraph" w:styleId="3">
    <w:name w:val="Обычный3"/>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paragraph" w:styleId="Style19">
    <w:name w:val="Вміст таблиці"/>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5409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Application>LibreOffice/7.3.6.2$Windows_X86_64 LibreOffice_project/c28ca90fd6e1a19e189fc16c05f8f8924961e12e</Application>
  <AppVersion>15.0000</AppVersion>
  <Pages>4</Pages>
  <Words>1357</Words>
  <Characters>9033</Characters>
  <CharactersWithSpaces>10442</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2022-12-13T12:30:00Z</dcterms:created>
  <dc:creator>Татьяна Руденко</dc:creator>
  <dc:description/>
  <dc:language>uk-UA</dc:language>
  <cp:lastModifiedBy/>
  <dcterms:modified xsi:type="dcterms:W3CDTF">2024-02-16T14:48:03Z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file>