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75" w:rsidRDefault="00B54ED6" w:rsidP="001A27E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A5775" w:rsidRDefault="00B54ED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A5775" w:rsidRDefault="00B54ED6">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A5775" w:rsidRDefault="008A5775">
      <w:pPr>
        <w:spacing w:before="240" w:after="0" w:line="240" w:lineRule="auto"/>
        <w:jc w:val="center"/>
        <w:rPr>
          <w:rFonts w:ascii="Times New Roman" w:eastAsia="Times New Roman" w:hAnsi="Times New Roman" w:cs="Times New Roman"/>
          <w:b/>
          <w:i/>
          <w:color w:val="000000"/>
          <w:sz w:val="4"/>
          <w:szCs w:val="4"/>
        </w:rPr>
      </w:pPr>
    </w:p>
    <w:p w:rsidR="008A5775" w:rsidRDefault="00B54ED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A5775" w:rsidRDefault="008A5775">
      <w:pPr>
        <w:spacing w:after="0" w:line="240" w:lineRule="auto"/>
        <w:rPr>
          <w:rFonts w:ascii="Times New Roman" w:eastAsia="Times New Roman" w:hAnsi="Times New Roman" w:cs="Times New Roman"/>
          <w:i/>
          <w:sz w:val="24"/>
          <w:szCs w:val="24"/>
          <w:highlight w:val="white"/>
        </w:rPr>
      </w:pPr>
    </w:p>
    <w:tbl>
      <w:tblPr>
        <w:tblStyle w:val="a5"/>
        <w:tblW w:w="10064"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6"/>
        <w:gridCol w:w="5598"/>
      </w:tblGrid>
      <w:tr w:rsidR="008A5775" w:rsidTr="001A27E0">
        <w:tc>
          <w:tcPr>
            <w:tcW w:w="4466"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Назва предмета закупівлі</w:t>
            </w:r>
          </w:p>
        </w:tc>
        <w:tc>
          <w:tcPr>
            <w:tcW w:w="5598" w:type="dxa"/>
            <w:shd w:val="clear" w:color="auto" w:fill="auto"/>
            <w:tcMar>
              <w:top w:w="100" w:type="dxa"/>
              <w:left w:w="100" w:type="dxa"/>
              <w:bottom w:w="100" w:type="dxa"/>
              <w:right w:w="100" w:type="dxa"/>
            </w:tcMar>
          </w:tcPr>
          <w:p w:rsidR="008A5775" w:rsidRPr="001A27E0" w:rsidRDefault="001A27E0">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b/>
                <w:color w:val="000000" w:themeColor="text1"/>
              </w:rPr>
              <w:t>Поточний ремонт дорожнього покриття вулиць Жмеринської міської територіальної громади</w:t>
            </w:r>
          </w:p>
        </w:tc>
      </w:tr>
      <w:tr w:rsidR="008A5775" w:rsidTr="001A27E0">
        <w:tc>
          <w:tcPr>
            <w:tcW w:w="4466"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Код ДК 021:2015</w:t>
            </w:r>
          </w:p>
        </w:tc>
        <w:tc>
          <w:tcPr>
            <w:tcW w:w="5598" w:type="dxa"/>
            <w:shd w:val="clear" w:color="auto" w:fill="auto"/>
            <w:tcMar>
              <w:top w:w="100" w:type="dxa"/>
              <w:left w:w="100" w:type="dxa"/>
              <w:bottom w:w="100" w:type="dxa"/>
              <w:right w:w="100" w:type="dxa"/>
            </w:tcMar>
          </w:tcPr>
          <w:p w:rsidR="008A5775" w:rsidRPr="001A27E0" w:rsidRDefault="001A27E0">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hAnsi="Times New Roman" w:cs="Times New Roman"/>
                <w:b/>
                <w:color w:val="000000" w:themeColor="text1"/>
              </w:rPr>
              <w:t xml:space="preserve">50230000-6 - </w:t>
            </w:r>
            <w:r w:rsidRPr="001A27E0">
              <w:rPr>
                <w:rFonts w:ascii="Times New Roman" w:hAnsi="Times New Roman" w:cs="Times New Roman"/>
                <w:i/>
                <w:color w:val="000000" w:themeColor="text1"/>
              </w:rPr>
              <w:t>Послуги з ремонту, технічного обслуговування дорожньої інфраструктури і пов’язаного обладнання та супутні послуги</w:t>
            </w:r>
          </w:p>
        </w:tc>
      </w:tr>
      <w:tr w:rsidR="008A5775" w:rsidTr="001A27E0">
        <w:tc>
          <w:tcPr>
            <w:tcW w:w="4466"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Кількість поставки товару / Обсяг надання послуг / Обсяг виконання робіт</w:t>
            </w:r>
          </w:p>
        </w:tc>
        <w:tc>
          <w:tcPr>
            <w:tcW w:w="5598" w:type="dxa"/>
            <w:shd w:val="clear" w:color="auto" w:fill="auto"/>
            <w:tcMar>
              <w:top w:w="100" w:type="dxa"/>
              <w:left w:w="100" w:type="dxa"/>
              <w:bottom w:w="100" w:type="dxa"/>
              <w:right w:w="100" w:type="dxa"/>
            </w:tcMar>
          </w:tcPr>
          <w:p w:rsidR="008A5775" w:rsidRPr="001A27E0" w:rsidRDefault="001A27E0">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1 послуга</w:t>
            </w:r>
          </w:p>
        </w:tc>
      </w:tr>
      <w:tr w:rsidR="008A5775" w:rsidTr="001A27E0">
        <w:tc>
          <w:tcPr>
            <w:tcW w:w="4466"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Місце поставки товару / надання послуг / виконання робіт</w:t>
            </w:r>
          </w:p>
        </w:tc>
        <w:tc>
          <w:tcPr>
            <w:tcW w:w="5598" w:type="dxa"/>
            <w:shd w:val="clear" w:color="auto" w:fill="auto"/>
            <w:tcMar>
              <w:top w:w="100" w:type="dxa"/>
              <w:left w:w="100" w:type="dxa"/>
              <w:bottom w:w="100" w:type="dxa"/>
              <w:right w:w="100" w:type="dxa"/>
            </w:tcMar>
          </w:tcPr>
          <w:p w:rsidR="008A5775" w:rsidRPr="001A27E0" w:rsidRDefault="001A27E0">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Жмеринська територіальна громада</w:t>
            </w:r>
          </w:p>
        </w:tc>
      </w:tr>
      <w:tr w:rsidR="008A5775" w:rsidTr="001A27E0">
        <w:tc>
          <w:tcPr>
            <w:tcW w:w="4466"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Строк поставки товару / надання послуг / виконання робіт</w:t>
            </w:r>
          </w:p>
        </w:tc>
        <w:tc>
          <w:tcPr>
            <w:tcW w:w="5598" w:type="dxa"/>
            <w:shd w:val="clear" w:color="auto" w:fill="auto"/>
            <w:tcMar>
              <w:top w:w="100" w:type="dxa"/>
              <w:left w:w="100" w:type="dxa"/>
              <w:bottom w:w="100" w:type="dxa"/>
              <w:right w:w="100" w:type="dxa"/>
            </w:tcMar>
          </w:tcPr>
          <w:p w:rsidR="008A5775" w:rsidRPr="001A27E0" w:rsidRDefault="00B54ED6" w:rsidP="001A27E0">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 xml:space="preserve">до </w:t>
            </w:r>
            <w:r w:rsidR="001A27E0" w:rsidRPr="001A27E0">
              <w:rPr>
                <w:rFonts w:ascii="Times New Roman" w:eastAsia="Times New Roman" w:hAnsi="Times New Roman" w:cs="Times New Roman"/>
                <w:i/>
                <w:color w:val="000000" w:themeColor="text1"/>
                <w:sz w:val="24"/>
                <w:szCs w:val="24"/>
              </w:rPr>
              <w:t xml:space="preserve">15 липня </w:t>
            </w:r>
            <w:r w:rsidRPr="001A27E0">
              <w:rPr>
                <w:rFonts w:ascii="Times New Roman" w:eastAsia="Times New Roman" w:hAnsi="Times New Roman" w:cs="Times New Roman"/>
                <w:i/>
                <w:color w:val="000000" w:themeColor="text1"/>
                <w:sz w:val="24"/>
                <w:szCs w:val="24"/>
              </w:rPr>
              <w:t xml:space="preserve"> 20</w:t>
            </w:r>
            <w:r w:rsidR="001A27E0" w:rsidRPr="001A27E0">
              <w:rPr>
                <w:rFonts w:ascii="Times New Roman" w:eastAsia="Times New Roman" w:hAnsi="Times New Roman" w:cs="Times New Roman"/>
                <w:i/>
                <w:color w:val="000000" w:themeColor="text1"/>
                <w:sz w:val="24"/>
                <w:szCs w:val="24"/>
              </w:rPr>
              <w:t>24</w:t>
            </w:r>
            <w:r w:rsidRPr="001A27E0">
              <w:rPr>
                <w:rFonts w:ascii="Times New Roman" w:eastAsia="Times New Roman" w:hAnsi="Times New Roman" w:cs="Times New Roman"/>
                <w:i/>
                <w:color w:val="000000" w:themeColor="text1"/>
                <w:sz w:val="24"/>
                <w:szCs w:val="24"/>
              </w:rPr>
              <w:t xml:space="preserve"> року включно</w:t>
            </w:r>
          </w:p>
        </w:tc>
      </w:tr>
    </w:tbl>
    <w:p w:rsidR="008A5775" w:rsidRDefault="008A5775">
      <w:pPr>
        <w:spacing w:after="0" w:line="240" w:lineRule="auto"/>
        <w:rPr>
          <w:rFonts w:ascii="Times New Roman" w:eastAsia="Times New Roman" w:hAnsi="Times New Roman" w:cs="Times New Roman"/>
          <w:i/>
          <w:sz w:val="24"/>
          <w:szCs w:val="24"/>
        </w:rPr>
      </w:pPr>
    </w:p>
    <w:p w:rsidR="001A27E0" w:rsidRPr="001A27E0" w:rsidRDefault="001A27E0" w:rsidP="001A27E0">
      <w:pPr>
        <w:pStyle w:val="a8"/>
        <w:spacing w:line="240" w:lineRule="atLeast"/>
        <w:ind w:left="0" w:firstLine="709"/>
        <w:jc w:val="both"/>
        <w:rPr>
          <w:b/>
          <w:color w:val="000000" w:themeColor="text1"/>
          <w:sz w:val="24"/>
          <w:szCs w:val="24"/>
          <w:lang w:val="uk-UA"/>
        </w:rPr>
      </w:pPr>
      <w:r w:rsidRPr="001A27E0">
        <w:rPr>
          <w:b/>
          <w:color w:val="000000" w:themeColor="text1"/>
          <w:sz w:val="24"/>
          <w:szCs w:val="24"/>
          <w:lang w:val="uk-UA"/>
        </w:rPr>
        <w:t xml:space="preserve">Для оцінки пропозиції надати в електронному вигляді (в форматі </w:t>
      </w:r>
      <w:proofErr w:type="spellStart"/>
      <w:r w:rsidRPr="001A27E0">
        <w:rPr>
          <w:b/>
          <w:color w:val="000000" w:themeColor="text1"/>
          <w:sz w:val="24"/>
          <w:szCs w:val="24"/>
          <w:lang w:val="uk-UA"/>
        </w:rPr>
        <w:t>pdf</w:t>
      </w:r>
      <w:proofErr w:type="spellEnd"/>
      <w:r w:rsidRPr="001A27E0">
        <w:rPr>
          <w:b/>
          <w:color w:val="000000" w:themeColor="text1"/>
          <w:sz w:val="24"/>
          <w:szCs w:val="24"/>
          <w:lang w:val="uk-UA"/>
        </w:rPr>
        <w:t>) розрахунок вартості виконання наступних видів робіт згідно таблиці:</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78"/>
        <w:gridCol w:w="1560"/>
        <w:gridCol w:w="1417"/>
      </w:tblGrid>
      <w:tr w:rsidR="001A27E0" w:rsidRPr="001A27E0" w:rsidTr="001A27E0">
        <w:trPr>
          <w:trHeight w:val="569"/>
        </w:trPr>
        <w:tc>
          <w:tcPr>
            <w:tcW w:w="709" w:type="dxa"/>
            <w:tcBorders>
              <w:top w:val="single" w:sz="4" w:space="0" w:color="auto"/>
              <w:left w:val="single" w:sz="4" w:space="0" w:color="auto"/>
              <w:bottom w:val="single" w:sz="4" w:space="0" w:color="auto"/>
              <w:right w:val="single" w:sz="4" w:space="0" w:color="auto"/>
            </w:tcBorders>
            <w:vAlign w:val="center"/>
          </w:tcPr>
          <w:p w:rsidR="001A27E0" w:rsidRPr="001A27E0" w:rsidRDefault="001A27E0" w:rsidP="001A27E0">
            <w:pPr>
              <w:tabs>
                <w:tab w:val="center" w:pos="4153"/>
                <w:tab w:val="right" w:pos="8306"/>
              </w:tabs>
              <w:spacing w:line="240" w:lineRule="atLeast"/>
              <w:contextualSpacing/>
              <w:jc w:val="center"/>
              <w:rPr>
                <w:rFonts w:ascii="Times New Roman" w:hAnsi="Times New Roman" w:cs="Times New Roman"/>
                <w:b/>
                <w:color w:val="000000" w:themeColor="text1"/>
                <w:sz w:val="24"/>
                <w:szCs w:val="24"/>
              </w:rPr>
            </w:pPr>
            <w:r w:rsidRPr="001A27E0">
              <w:rPr>
                <w:rFonts w:ascii="Times New Roman" w:hAnsi="Times New Roman" w:cs="Times New Roman"/>
                <w:b/>
                <w:color w:val="000000" w:themeColor="text1"/>
                <w:sz w:val="24"/>
                <w:szCs w:val="24"/>
              </w:rPr>
              <w:t>№</w:t>
            </w:r>
          </w:p>
        </w:tc>
        <w:tc>
          <w:tcPr>
            <w:tcW w:w="6378" w:type="dxa"/>
            <w:tcBorders>
              <w:top w:val="single" w:sz="4" w:space="0" w:color="auto"/>
              <w:left w:val="single" w:sz="4" w:space="0" w:color="auto"/>
              <w:bottom w:val="single" w:sz="4" w:space="0" w:color="auto"/>
              <w:right w:val="single" w:sz="4" w:space="0" w:color="auto"/>
            </w:tcBorders>
            <w:vAlign w:val="center"/>
          </w:tcPr>
          <w:p w:rsidR="001A27E0" w:rsidRPr="001A27E0" w:rsidRDefault="001A27E0" w:rsidP="001A27E0">
            <w:pPr>
              <w:tabs>
                <w:tab w:val="center" w:pos="4153"/>
                <w:tab w:val="right" w:pos="8306"/>
              </w:tabs>
              <w:spacing w:line="240" w:lineRule="atLeast"/>
              <w:contextualSpacing/>
              <w:jc w:val="center"/>
              <w:rPr>
                <w:rFonts w:ascii="Times New Roman" w:hAnsi="Times New Roman" w:cs="Times New Roman"/>
                <w:b/>
                <w:color w:val="000000" w:themeColor="text1"/>
                <w:sz w:val="24"/>
                <w:szCs w:val="24"/>
              </w:rPr>
            </w:pPr>
            <w:r w:rsidRPr="001A27E0">
              <w:rPr>
                <w:rFonts w:ascii="Times New Roman" w:hAnsi="Times New Roman" w:cs="Times New Roman"/>
                <w:b/>
                <w:color w:val="000000" w:themeColor="text1"/>
                <w:sz w:val="24"/>
                <w:szCs w:val="24"/>
              </w:rPr>
              <w:t>Найменування робіт і витрат</w:t>
            </w:r>
          </w:p>
        </w:tc>
        <w:tc>
          <w:tcPr>
            <w:tcW w:w="1560" w:type="dxa"/>
            <w:tcBorders>
              <w:top w:val="single" w:sz="4" w:space="0" w:color="auto"/>
              <w:left w:val="single" w:sz="4" w:space="0" w:color="auto"/>
              <w:bottom w:val="single" w:sz="4" w:space="0" w:color="auto"/>
              <w:right w:val="single" w:sz="4" w:space="0" w:color="auto"/>
            </w:tcBorders>
            <w:vAlign w:val="center"/>
          </w:tcPr>
          <w:p w:rsidR="001A27E0" w:rsidRPr="001A27E0" w:rsidRDefault="001A27E0" w:rsidP="001A27E0">
            <w:pPr>
              <w:tabs>
                <w:tab w:val="center" w:pos="4153"/>
                <w:tab w:val="right" w:pos="8306"/>
              </w:tabs>
              <w:spacing w:line="240" w:lineRule="atLeast"/>
              <w:contextualSpacing/>
              <w:jc w:val="center"/>
              <w:rPr>
                <w:rFonts w:ascii="Times New Roman" w:hAnsi="Times New Roman" w:cs="Times New Roman"/>
                <w:b/>
                <w:color w:val="000000" w:themeColor="text1"/>
                <w:sz w:val="24"/>
                <w:szCs w:val="24"/>
              </w:rPr>
            </w:pPr>
            <w:r w:rsidRPr="001A27E0">
              <w:rPr>
                <w:rFonts w:ascii="Times New Roman" w:hAnsi="Times New Roman" w:cs="Times New Roman"/>
                <w:b/>
                <w:color w:val="000000" w:themeColor="text1"/>
                <w:sz w:val="24"/>
                <w:szCs w:val="24"/>
              </w:rPr>
              <w:t>Одиниця</w:t>
            </w:r>
          </w:p>
          <w:p w:rsidR="001A27E0" w:rsidRPr="001A27E0" w:rsidRDefault="001A27E0" w:rsidP="001A27E0">
            <w:pPr>
              <w:tabs>
                <w:tab w:val="center" w:pos="4153"/>
                <w:tab w:val="right" w:pos="8306"/>
              </w:tabs>
              <w:spacing w:line="240" w:lineRule="atLeast"/>
              <w:contextualSpacing/>
              <w:jc w:val="center"/>
              <w:rPr>
                <w:rFonts w:ascii="Times New Roman" w:hAnsi="Times New Roman" w:cs="Times New Roman"/>
                <w:b/>
                <w:color w:val="000000" w:themeColor="text1"/>
                <w:sz w:val="24"/>
                <w:szCs w:val="24"/>
              </w:rPr>
            </w:pPr>
            <w:r w:rsidRPr="001A27E0">
              <w:rPr>
                <w:rFonts w:ascii="Times New Roman" w:hAnsi="Times New Roman" w:cs="Times New Roman"/>
                <w:b/>
                <w:color w:val="000000" w:themeColor="text1"/>
                <w:sz w:val="24"/>
                <w:szCs w:val="24"/>
              </w:rPr>
              <w:t>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1A27E0" w:rsidRPr="001A27E0" w:rsidRDefault="001A27E0" w:rsidP="001A27E0">
            <w:pPr>
              <w:tabs>
                <w:tab w:val="center" w:pos="4153"/>
                <w:tab w:val="right" w:pos="8306"/>
              </w:tabs>
              <w:spacing w:line="240" w:lineRule="atLeast"/>
              <w:contextualSpacing/>
              <w:jc w:val="center"/>
              <w:rPr>
                <w:rFonts w:ascii="Times New Roman" w:hAnsi="Times New Roman" w:cs="Times New Roman"/>
                <w:b/>
                <w:color w:val="000000" w:themeColor="text1"/>
                <w:sz w:val="24"/>
                <w:szCs w:val="24"/>
              </w:rPr>
            </w:pPr>
            <w:r w:rsidRPr="001A27E0">
              <w:rPr>
                <w:rFonts w:ascii="Times New Roman" w:hAnsi="Times New Roman" w:cs="Times New Roman"/>
                <w:b/>
                <w:color w:val="000000" w:themeColor="text1"/>
                <w:sz w:val="24"/>
                <w:szCs w:val="24"/>
              </w:rPr>
              <w:t>Кількість</w:t>
            </w:r>
          </w:p>
        </w:tc>
      </w:tr>
      <w:tr w:rsidR="001A27E0" w:rsidRPr="001A27E0" w:rsidTr="001A27E0">
        <w:tc>
          <w:tcPr>
            <w:tcW w:w="709"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tabs>
                <w:tab w:val="center" w:pos="4153"/>
                <w:tab w:val="right" w:pos="8306"/>
              </w:tabs>
              <w:spacing w:line="240" w:lineRule="atLeast"/>
              <w:contextualSpacing/>
              <w:jc w:val="center"/>
              <w:rPr>
                <w:rFonts w:ascii="Times New Roman" w:hAnsi="Times New Roman" w:cs="Times New Roman"/>
                <w:b/>
                <w:color w:val="000000" w:themeColor="text1"/>
                <w:sz w:val="24"/>
                <w:szCs w:val="24"/>
              </w:rPr>
            </w:pPr>
            <w:r w:rsidRPr="001A27E0">
              <w:rPr>
                <w:rFonts w:ascii="Times New Roman" w:hAnsi="Times New Roman" w:cs="Times New Roman"/>
                <w:b/>
                <w:color w:val="000000" w:themeColor="text1"/>
                <w:sz w:val="24"/>
                <w:szCs w:val="24"/>
              </w:rPr>
              <w:t>1</w:t>
            </w:r>
          </w:p>
        </w:tc>
        <w:tc>
          <w:tcPr>
            <w:tcW w:w="6378"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tabs>
                <w:tab w:val="center" w:pos="4153"/>
                <w:tab w:val="right" w:pos="8306"/>
              </w:tabs>
              <w:spacing w:line="240" w:lineRule="atLeast"/>
              <w:contextualSpacing/>
              <w:jc w:val="center"/>
              <w:rPr>
                <w:rFonts w:ascii="Times New Roman" w:hAnsi="Times New Roman" w:cs="Times New Roman"/>
                <w:b/>
                <w:color w:val="000000" w:themeColor="text1"/>
                <w:sz w:val="24"/>
                <w:szCs w:val="24"/>
              </w:rPr>
            </w:pPr>
            <w:r w:rsidRPr="001A27E0">
              <w:rPr>
                <w:rFonts w:ascii="Times New Roman" w:hAnsi="Times New Roman" w:cs="Times New Roman"/>
                <w:b/>
                <w:color w:val="000000" w:themeColor="text1"/>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tabs>
                <w:tab w:val="center" w:pos="4153"/>
                <w:tab w:val="right" w:pos="8306"/>
              </w:tabs>
              <w:spacing w:line="240" w:lineRule="atLeast"/>
              <w:contextualSpacing/>
              <w:jc w:val="center"/>
              <w:rPr>
                <w:rFonts w:ascii="Times New Roman" w:hAnsi="Times New Roman" w:cs="Times New Roman"/>
                <w:b/>
                <w:color w:val="000000" w:themeColor="text1"/>
                <w:sz w:val="24"/>
                <w:szCs w:val="24"/>
              </w:rPr>
            </w:pPr>
            <w:r w:rsidRPr="001A27E0">
              <w:rPr>
                <w:rFonts w:ascii="Times New Roman" w:hAnsi="Times New Roman" w:cs="Times New Roman"/>
                <w:b/>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tabs>
                <w:tab w:val="center" w:pos="4153"/>
                <w:tab w:val="right" w:pos="8306"/>
              </w:tabs>
              <w:spacing w:line="240" w:lineRule="atLeast"/>
              <w:contextualSpacing/>
              <w:jc w:val="center"/>
              <w:rPr>
                <w:rFonts w:ascii="Times New Roman" w:hAnsi="Times New Roman" w:cs="Times New Roman"/>
                <w:b/>
                <w:color w:val="000000" w:themeColor="text1"/>
                <w:sz w:val="24"/>
                <w:szCs w:val="24"/>
              </w:rPr>
            </w:pPr>
            <w:r w:rsidRPr="001A27E0">
              <w:rPr>
                <w:rFonts w:ascii="Times New Roman" w:hAnsi="Times New Roman" w:cs="Times New Roman"/>
                <w:b/>
                <w:color w:val="000000" w:themeColor="text1"/>
                <w:sz w:val="24"/>
                <w:szCs w:val="24"/>
              </w:rPr>
              <w:t>4</w:t>
            </w:r>
          </w:p>
        </w:tc>
      </w:tr>
      <w:tr w:rsidR="002D428F" w:rsidRPr="001A27E0" w:rsidTr="001A27E0">
        <w:tc>
          <w:tcPr>
            <w:tcW w:w="709" w:type="dxa"/>
            <w:tcBorders>
              <w:top w:val="single" w:sz="4" w:space="0" w:color="auto"/>
              <w:left w:val="single" w:sz="4" w:space="0" w:color="auto"/>
              <w:bottom w:val="single" w:sz="4" w:space="0" w:color="auto"/>
              <w:right w:val="single" w:sz="4" w:space="0" w:color="auto"/>
            </w:tcBorders>
          </w:tcPr>
          <w:p w:rsidR="002D428F" w:rsidRPr="001A27E0" w:rsidRDefault="002D428F"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1</w:t>
            </w:r>
          </w:p>
        </w:tc>
        <w:tc>
          <w:tcPr>
            <w:tcW w:w="6378" w:type="dxa"/>
            <w:tcBorders>
              <w:top w:val="single" w:sz="4" w:space="0" w:color="auto"/>
              <w:left w:val="nil"/>
              <w:bottom w:val="single" w:sz="4" w:space="0" w:color="auto"/>
              <w:right w:val="nil"/>
            </w:tcBorders>
          </w:tcPr>
          <w:p w:rsidR="002D428F" w:rsidRPr="001A27E0" w:rsidRDefault="002D428F" w:rsidP="001A27E0">
            <w:pPr>
              <w:keepLines/>
              <w:autoSpaceDE w:val="0"/>
              <w:autoSpaceDN w:val="0"/>
              <w:spacing w:line="240" w:lineRule="atLeast"/>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Розбирання асфальтобетонних покриттів ручним способом товщиною 10 см.</w:t>
            </w:r>
          </w:p>
        </w:tc>
        <w:tc>
          <w:tcPr>
            <w:tcW w:w="1560" w:type="dxa"/>
            <w:tcBorders>
              <w:top w:val="single" w:sz="4" w:space="0" w:color="auto"/>
              <w:left w:val="single" w:sz="4" w:space="0" w:color="auto"/>
              <w:bottom w:val="single" w:sz="4" w:space="0" w:color="auto"/>
              <w:right w:val="nil"/>
            </w:tcBorders>
          </w:tcPr>
          <w:p w:rsidR="002D428F" w:rsidRPr="001A27E0" w:rsidRDefault="002D428F"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м</w:t>
            </w:r>
            <w:r w:rsidRPr="001A27E0">
              <w:rPr>
                <w:rFonts w:ascii="Times New Roman" w:hAnsi="Times New Roman" w:cs="Times New Roman"/>
                <w:color w:val="000000" w:themeColor="text1"/>
                <w:spacing w:val="-3"/>
                <w:sz w:val="24"/>
                <w:szCs w:val="24"/>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2D428F" w:rsidRPr="001A27E0" w:rsidRDefault="002D428F" w:rsidP="001A27E0">
            <w:pPr>
              <w:keepLines/>
              <w:autoSpaceDE w:val="0"/>
              <w:autoSpaceDN w:val="0"/>
              <w:spacing w:line="240" w:lineRule="atLeast"/>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r>
      <w:tr w:rsidR="001A27E0" w:rsidRPr="001A27E0" w:rsidTr="001A27E0">
        <w:tc>
          <w:tcPr>
            <w:tcW w:w="709" w:type="dxa"/>
            <w:tcBorders>
              <w:top w:val="single" w:sz="4" w:space="0" w:color="auto"/>
              <w:left w:val="single" w:sz="4" w:space="0" w:color="auto"/>
              <w:bottom w:val="single" w:sz="4" w:space="0" w:color="auto"/>
              <w:right w:val="single" w:sz="4" w:space="0" w:color="auto"/>
            </w:tcBorders>
          </w:tcPr>
          <w:p w:rsidR="001A27E0" w:rsidRPr="001A27E0" w:rsidRDefault="002D428F"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2</w:t>
            </w:r>
          </w:p>
        </w:tc>
        <w:tc>
          <w:tcPr>
            <w:tcW w:w="6378" w:type="dxa"/>
            <w:tcBorders>
              <w:top w:val="single" w:sz="4" w:space="0" w:color="auto"/>
              <w:left w:val="nil"/>
              <w:bottom w:val="single" w:sz="4" w:space="0" w:color="auto"/>
              <w:right w:val="nil"/>
            </w:tcBorders>
          </w:tcPr>
          <w:p w:rsidR="001A27E0" w:rsidRPr="001A27E0" w:rsidRDefault="001A27E0" w:rsidP="001A27E0">
            <w:pPr>
              <w:keepLines/>
              <w:autoSpaceDE w:val="0"/>
              <w:autoSpaceDN w:val="0"/>
              <w:spacing w:line="240" w:lineRule="atLeast"/>
              <w:contextualSpacing/>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Ямковий ремонт асфальтного покриття доріг площею ремонту до 5м</w:t>
            </w:r>
            <w:r w:rsidRPr="001A27E0">
              <w:rPr>
                <w:rFonts w:ascii="Times New Roman" w:hAnsi="Times New Roman" w:cs="Times New Roman"/>
                <w:color w:val="000000" w:themeColor="text1"/>
                <w:spacing w:val="-3"/>
                <w:sz w:val="24"/>
                <w:szCs w:val="24"/>
                <w:vertAlign w:val="superscript"/>
              </w:rPr>
              <w:t>2</w:t>
            </w:r>
            <w:r w:rsidRPr="001A27E0">
              <w:rPr>
                <w:rFonts w:ascii="Times New Roman" w:hAnsi="Times New Roman" w:cs="Times New Roman"/>
                <w:color w:val="000000" w:themeColor="text1"/>
                <w:spacing w:val="-3"/>
                <w:sz w:val="24"/>
                <w:szCs w:val="24"/>
              </w:rPr>
              <w:t>, товщина 7 см.</w:t>
            </w:r>
          </w:p>
        </w:tc>
        <w:tc>
          <w:tcPr>
            <w:tcW w:w="1560" w:type="dxa"/>
            <w:tcBorders>
              <w:top w:val="single" w:sz="4" w:space="0" w:color="auto"/>
              <w:left w:val="single" w:sz="4" w:space="0" w:color="auto"/>
              <w:bottom w:val="single" w:sz="4" w:space="0" w:color="auto"/>
              <w:right w:val="nil"/>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м</w:t>
            </w:r>
            <w:r w:rsidRPr="001A27E0">
              <w:rPr>
                <w:rFonts w:ascii="Times New Roman" w:hAnsi="Times New Roman" w:cs="Times New Roman"/>
                <w:color w:val="000000" w:themeColor="text1"/>
                <w:spacing w:val="-3"/>
                <w:sz w:val="24"/>
                <w:szCs w:val="24"/>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1A27E0" w:rsidRPr="001A27E0" w:rsidRDefault="001A27E0" w:rsidP="001A27E0">
            <w:pPr>
              <w:keepLines/>
              <w:autoSpaceDE w:val="0"/>
              <w:autoSpaceDN w:val="0"/>
              <w:spacing w:line="240" w:lineRule="atLeast"/>
              <w:contextualSpacing/>
              <w:jc w:val="center"/>
              <w:rPr>
                <w:rFonts w:ascii="Times New Roman" w:hAnsi="Times New Roman" w:cs="Times New Roman"/>
                <w:color w:val="000000" w:themeColor="text1"/>
                <w:sz w:val="24"/>
                <w:szCs w:val="24"/>
              </w:rPr>
            </w:pPr>
            <w:r w:rsidRPr="001A27E0">
              <w:rPr>
                <w:rFonts w:ascii="Times New Roman" w:hAnsi="Times New Roman" w:cs="Times New Roman"/>
                <w:color w:val="000000" w:themeColor="text1"/>
                <w:sz w:val="24"/>
                <w:szCs w:val="24"/>
              </w:rPr>
              <w:t>200</w:t>
            </w:r>
          </w:p>
        </w:tc>
      </w:tr>
      <w:tr w:rsidR="002D428F" w:rsidRPr="001A27E0" w:rsidTr="001A27E0">
        <w:tc>
          <w:tcPr>
            <w:tcW w:w="709" w:type="dxa"/>
            <w:tcBorders>
              <w:top w:val="single" w:sz="4" w:space="0" w:color="auto"/>
              <w:left w:val="single" w:sz="4" w:space="0" w:color="auto"/>
              <w:bottom w:val="single" w:sz="4" w:space="0" w:color="auto"/>
              <w:right w:val="single" w:sz="4" w:space="0" w:color="auto"/>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3</w:t>
            </w:r>
          </w:p>
        </w:tc>
        <w:tc>
          <w:tcPr>
            <w:tcW w:w="6378" w:type="dxa"/>
            <w:tcBorders>
              <w:top w:val="single" w:sz="4" w:space="0" w:color="auto"/>
              <w:left w:val="nil"/>
              <w:bottom w:val="single" w:sz="4" w:space="0" w:color="auto"/>
              <w:right w:val="nil"/>
            </w:tcBorders>
          </w:tcPr>
          <w:p w:rsidR="002D428F" w:rsidRPr="001A27E0" w:rsidRDefault="002D428F" w:rsidP="002D428F">
            <w:pPr>
              <w:keepLines/>
              <w:autoSpaceDE w:val="0"/>
              <w:autoSpaceDN w:val="0"/>
              <w:spacing w:line="240" w:lineRule="atLeast"/>
              <w:contextualSpacing/>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 xml:space="preserve">Улаштування шару одношарових основ товщиною </w:t>
            </w:r>
            <w:r>
              <w:rPr>
                <w:rFonts w:ascii="Times New Roman" w:hAnsi="Times New Roman" w:cs="Times New Roman"/>
                <w:color w:val="000000" w:themeColor="text1"/>
                <w:spacing w:val="-3"/>
                <w:sz w:val="24"/>
                <w:szCs w:val="24"/>
              </w:rPr>
              <w:t>3</w:t>
            </w:r>
            <w:r w:rsidRPr="001A27E0">
              <w:rPr>
                <w:rFonts w:ascii="Times New Roman" w:hAnsi="Times New Roman" w:cs="Times New Roman"/>
                <w:color w:val="000000" w:themeColor="text1"/>
                <w:spacing w:val="-3"/>
                <w:sz w:val="24"/>
                <w:szCs w:val="24"/>
              </w:rPr>
              <w:t xml:space="preserve"> см </w:t>
            </w:r>
            <w:proofErr w:type="spellStart"/>
            <w:r w:rsidRPr="001A27E0">
              <w:rPr>
                <w:rFonts w:ascii="Times New Roman" w:hAnsi="Times New Roman" w:cs="Times New Roman"/>
                <w:color w:val="000000" w:themeColor="text1"/>
                <w:spacing w:val="-3"/>
                <w:sz w:val="24"/>
                <w:szCs w:val="24"/>
              </w:rPr>
              <w:t>iз</w:t>
            </w:r>
            <w:proofErr w:type="spellEnd"/>
            <w:r w:rsidRPr="001A27E0">
              <w:rPr>
                <w:rFonts w:ascii="Times New Roman" w:hAnsi="Times New Roman" w:cs="Times New Roman"/>
                <w:color w:val="000000" w:themeColor="text1"/>
                <w:spacing w:val="-3"/>
                <w:sz w:val="24"/>
                <w:szCs w:val="24"/>
              </w:rPr>
              <w:t xml:space="preserve"> щебенево-піщаної суміші С-7 (0-40мм)</w:t>
            </w:r>
          </w:p>
        </w:tc>
        <w:tc>
          <w:tcPr>
            <w:tcW w:w="1560" w:type="dxa"/>
            <w:tcBorders>
              <w:top w:val="single" w:sz="4" w:space="0" w:color="auto"/>
              <w:left w:val="single" w:sz="4" w:space="0" w:color="auto"/>
              <w:bottom w:val="single" w:sz="4" w:space="0" w:color="auto"/>
              <w:right w:val="nil"/>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м</w:t>
            </w:r>
            <w:r w:rsidRPr="001A27E0">
              <w:rPr>
                <w:rFonts w:ascii="Times New Roman" w:hAnsi="Times New Roman" w:cs="Times New Roman"/>
                <w:color w:val="000000" w:themeColor="text1"/>
                <w:spacing w:val="-3"/>
                <w:sz w:val="24"/>
                <w:szCs w:val="24"/>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200</w:t>
            </w:r>
          </w:p>
        </w:tc>
      </w:tr>
      <w:tr w:rsidR="002D428F" w:rsidRPr="001A27E0" w:rsidTr="001A27E0">
        <w:tc>
          <w:tcPr>
            <w:tcW w:w="709" w:type="dxa"/>
            <w:tcBorders>
              <w:top w:val="single" w:sz="4" w:space="0" w:color="auto"/>
              <w:left w:val="single" w:sz="4" w:space="0" w:color="auto"/>
              <w:bottom w:val="single" w:sz="4" w:space="0" w:color="auto"/>
              <w:right w:val="single" w:sz="4" w:space="0" w:color="auto"/>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4</w:t>
            </w:r>
          </w:p>
        </w:tc>
        <w:tc>
          <w:tcPr>
            <w:tcW w:w="6378" w:type="dxa"/>
            <w:tcBorders>
              <w:top w:val="single" w:sz="4" w:space="0" w:color="auto"/>
              <w:left w:val="nil"/>
              <w:bottom w:val="single" w:sz="4" w:space="0" w:color="auto"/>
              <w:right w:val="nil"/>
            </w:tcBorders>
          </w:tcPr>
          <w:p w:rsidR="002D428F" w:rsidRPr="001A27E0" w:rsidRDefault="002D428F" w:rsidP="002D428F">
            <w:pPr>
              <w:keepLines/>
              <w:autoSpaceDE w:val="0"/>
              <w:autoSpaceDN w:val="0"/>
              <w:spacing w:line="240" w:lineRule="atLeast"/>
              <w:contextualSpacing/>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Ямковий ремонт асфальтного покриття доріг площею ремонту до 5м</w:t>
            </w:r>
            <w:r w:rsidRPr="001A27E0">
              <w:rPr>
                <w:rFonts w:ascii="Times New Roman" w:hAnsi="Times New Roman" w:cs="Times New Roman"/>
                <w:color w:val="000000" w:themeColor="text1"/>
                <w:spacing w:val="-3"/>
                <w:sz w:val="24"/>
                <w:szCs w:val="24"/>
                <w:vertAlign w:val="superscript"/>
              </w:rPr>
              <w:t>2</w:t>
            </w:r>
            <w:r w:rsidRPr="001A27E0">
              <w:rPr>
                <w:rFonts w:ascii="Times New Roman" w:hAnsi="Times New Roman" w:cs="Times New Roman"/>
                <w:color w:val="000000" w:themeColor="text1"/>
                <w:spacing w:val="-3"/>
                <w:sz w:val="24"/>
                <w:szCs w:val="24"/>
              </w:rPr>
              <w:t>, товщина 5 см.</w:t>
            </w:r>
          </w:p>
        </w:tc>
        <w:tc>
          <w:tcPr>
            <w:tcW w:w="1560" w:type="dxa"/>
            <w:tcBorders>
              <w:top w:val="single" w:sz="4" w:space="0" w:color="auto"/>
              <w:left w:val="single" w:sz="4" w:space="0" w:color="auto"/>
              <w:bottom w:val="single" w:sz="4" w:space="0" w:color="auto"/>
              <w:right w:val="nil"/>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pacing w:val="-3"/>
                <w:sz w:val="24"/>
                <w:szCs w:val="24"/>
                <w:vertAlign w:val="superscript"/>
              </w:rPr>
            </w:pPr>
            <w:r w:rsidRPr="001A27E0">
              <w:rPr>
                <w:rFonts w:ascii="Times New Roman" w:hAnsi="Times New Roman" w:cs="Times New Roman"/>
                <w:color w:val="000000" w:themeColor="text1"/>
                <w:spacing w:val="-3"/>
                <w:sz w:val="24"/>
                <w:szCs w:val="24"/>
              </w:rPr>
              <w:t>м</w:t>
            </w:r>
            <w:r w:rsidRPr="001A27E0">
              <w:rPr>
                <w:rFonts w:ascii="Times New Roman" w:hAnsi="Times New Roman" w:cs="Times New Roman"/>
                <w:color w:val="000000" w:themeColor="text1"/>
                <w:spacing w:val="-3"/>
                <w:sz w:val="24"/>
                <w:szCs w:val="24"/>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z w:val="24"/>
                <w:szCs w:val="24"/>
              </w:rPr>
            </w:pPr>
            <w:r w:rsidRPr="001A27E0">
              <w:rPr>
                <w:rFonts w:ascii="Times New Roman" w:hAnsi="Times New Roman" w:cs="Times New Roman"/>
                <w:color w:val="000000" w:themeColor="text1"/>
                <w:sz w:val="24"/>
                <w:szCs w:val="24"/>
              </w:rPr>
              <w:t>2250</w:t>
            </w:r>
          </w:p>
        </w:tc>
      </w:tr>
      <w:tr w:rsidR="002D428F" w:rsidRPr="001A27E0" w:rsidTr="001A27E0">
        <w:tc>
          <w:tcPr>
            <w:tcW w:w="709" w:type="dxa"/>
            <w:tcBorders>
              <w:top w:val="single" w:sz="4" w:space="0" w:color="auto"/>
              <w:left w:val="single" w:sz="4" w:space="0" w:color="auto"/>
              <w:bottom w:val="single" w:sz="4" w:space="0" w:color="auto"/>
              <w:right w:val="single" w:sz="4" w:space="0" w:color="auto"/>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6378" w:type="dxa"/>
            <w:tcBorders>
              <w:top w:val="single" w:sz="4" w:space="0" w:color="auto"/>
              <w:left w:val="nil"/>
              <w:bottom w:val="single" w:sz="4" w:space="0" w:color="auto"/>
              <w:right w:val="nil"/>
            </w:tcBorders>
          </w:tcPr>
          <w:p w:rsidR="002D428F" w:rsidRPr="001A27E0" w:rsidRDefault="002D428F" w:rsidP="002D428F">
            <w:pPr>
              <w:keepLines/>
              <w:autoSpaceDE w:val="0"/>
              <w:autoSpaceDN w:val="0"/>
              <w:spacing w:line="240" w:lineRule="atLeast"/>
              <w:contextualSpacing/>
              <w:rPr>
                <w:rFonts w:ascii="Times New Roman" w:hAnsi="Times New Roman" w:cs="Times New Roman"/>
                <w:color w:val="000000" w:themeColor="text1"/>
                <w:sz w:val="24"/>
                <w:szCs w:val="24"/>
              </w:rPr>
            </w:pPr>
            <w:r w:rsidRPr="001A27E0">
              <w:rPr>
                <w:rFonts w:ascii="Times New Roman" w:hAnsi="Times New Roman" w:cs="Times New Roman"/>
                <w:color w:val="000000" w:themeColor="text1"/>
                <w:spacing w:val="-3"/>
                <w:sz w:val="24"/>
                <w:szCs w:val="24"/>
              </w:rPr>
              <w:t>Ямковий ремонт асфальтного покриття доріг площею ремонту понад 5м</w:t>
            </w:r>
            <w:r w:rsidRPr="001A27E0">
              <w:rPr>
                <w:rFonts w:ascii="Times New Roman" w:hAnsi="Times New Roman" w:cs="Times New Roman"/>
                <w:color w:val="000000" w:themeColor="text1"/>
                <w:spacing w:val="-3"/>
                <w:sz w:val="24"/>
                <w:szCs w:val="24"/>
                <w:vertAlign w:val="superscript"/>
              </w:rPr>
              <w:t>2</w:t>
            </w:r>
            <w:r w:rsidRPr="001A27E0">
              <w:rPr>
                <w:rFonts w:ascii="Times New Roman" w:hAnsi="Times New Roman" w:cs="Times New Roman"/>
                <w:color w:val="000000" w:themeColor="text1"/>
                <w:spacing w:val="-3"/>
                <w:sz w:val="24"/>
                <w:szCs w:val="24"/>
              </w:rPr>
              <w:t xml:space="preserve"> до 25м</w:t>
            </w:r>
            <w:r w:rsidRPr="001A27E0">
              <w:rPr>
                <w:rFonts w:ascii="Times New Roman" w:hAnsi="Times New Roman" w:cs="Times New Roman"/>
                <w:color w:val="000000" w:themeColor="text1"/>
                <w:spacing w:val="-3"/>
                <w:sz w:val="24"/>
                <w:szCs w:val="24"/>
                <w:vertAlign w:val="superscript"/>
              </w:rPr>
              <w:t>2</w:t>
            </w:r>
            <w:r w:rsidRPr="001A27E0">
              <w:rPr>
                <w:rFonts w:ascii="Times New Roman" w:hAnsi="Times New Roman" w:cs="Times New Roman"/>
                <w:color w:val="000000" w:themeColor="text1"/>
                <w:spacing w:val="-3"/>
                <w:sz w:val="24"/>
                <w:szCs w:val="24"/>
              </w:rPr>
              <w:t>, товщина 5 см.</w:t>
            </w:r>
          </w:p>
        </w:tc>
        <w:tc>
          <w:tcPr>
            <w:tcW w:w="1560" w:type="dxa"/>
            <w:tcBorders>
              <w:top w:val="single" w:sz="4" w:space="0" w:color="auto"/>
              <w:left w:val="single" w:sz="4" w:space="0" w:color="auto"/>
              <w:bottom w:val="single" w:sz="4" w:space="0" w:color="auto"/>
              <w:right w:val="nil"/>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z w:val="24"/>
                <w:szCs w:val="24"/>
              </w:rPr>
            </w:pPr>
            <w:r w:rsidRPr="001A27E0">
              <w:rPr>
                <w:rFonts w:ascii="Times New Roman" w:hAnsi="Times New Roman" w:cs="Times New Roman"/>
                <w:color w:val="000000" w:themeColor="text1"/>
                <w:spacing w:val="-3"/>
                <w:sz w:val="24"/>
                <w:szCs w:val="24"/>
              </w:rPr>
              <w:t>м</w:t>
            </w:r>
            <w:r w:rsidRPr="001A27E0">
              <w:rPr>
                <w:rFonts w:ascii="Times New Roman" w:hAnsi="Times New Roman" w:cs="Times New Roman"/>
                <w:color w:val="000000" w:themeColor="text1"/>
                <w:spacing w:val="-3"/>
                <w:sz w:val="24"/>
                <w:szCs w:val="24"/>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z w:val="24"/>
                <w:szCs w:val="24"/>
              </w:rPr>
            </w:pPr>
            <w:r w:rsidRPr="001A27E0">
              <w:rPr>
                <w:rFonts w:ascii="Times New Roman" w:hAnsi="Times New Roman" w:cs="Times New Roman"/>
                <w:color w:val="000000" w:themeColor="text1"/>
                <w:sz w:val="24"/>
                <w:szCs w:val="24"/>
              </w:rPr>
              <w:t>2000</w:t>
            </w:r>
          </w:p>
        </w:tc>
      </w:tr>
      <w:tr w:rsidR="002D428F" w:rsidRPr="001A27E0" w:rsidTr="001A27E0">
        <w:tc>
          <w:tcPr>
            <w:tcW w:w="709" w:type="dxa"/>
            <w:tcBorders>
              <w:top w:val="single" w:sz="4" w:space="0" w:color="auto"/>
              <w:left w:val="single" w:sz="4" w:space="0" w:color="auto"/>
              <w:bottom w:val="single" w:sz="4" w:space="0" w:color="auto"/>
              <w:right w:val="single" w:sz="4" w:space="0" w:color="auto"/>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6</w:t>
            </w:r>
          </w:p>
        </w:tc>
        <w:tc>
          <w:tcPr>
            <w:tcW w:w="6378" w:type="dxa"/>
            <w:tcBorders>
              <w:top w:val="single" w:sz="4" w:space="0" w:color="auto"/>
              <w:left w:val="nil"/>
              <w:bottom w:val="single" w:sz="4" w:space="0" w:color="auto"/>
              <w:right w:val="nil"/>
            </w:tcBorders>
          </w:tcPr>
          <w:p w:rsidR="002D428F" w:rsidRPr="001A27E0" w:rsidRDefault="002D428F" w:rsidP="002D428F">
            <w:pPr>
              <w:keepLines/>
              <w:autoSpaceDE w:val="0"/>
              <w:autoSpaceDN w:val="0"/>
              <w:spacing w:line="240" w:lineRule="atLeast"/>
              <w:contextualSpacing/>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Ремонт окремих ділянок цегляних горловин оглядових каналізаційних колодязів без заміни люка, поверхня з твердим покриттям</w:t>
            </w:r>
          </w:p>
        </w:tc>
        <w:tc>
          <w:tcPr>
            <w:tcW w:w="1560" w:type="dxa"/>
            <w:tcBorders>
              <w:top w:val="single" w:sz="4" w:space="0" w:color="auto"/>
              <w:left w:val="single" w:sz="4" w:space="0" w:color="auto"/>
              <w:bottom w:val="single" w:sz="4" w:space="0" w:color="auto"/>
              <w:right w:val="nil"/>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proofErr w:type="spellStart"/>
            <w:r w:rsidRPr="001A27E0">
              <w:rPr>
                <w:rFonts w:ascii="Times New Roman" w:hAnsi="Times New Roman" w:cs="Times New Roman"/>
                <w:color w:val="000000" w:themeColor="text1"/>
                <w:spacing w:val="-3"/>
                <w:sz w:val="24"/>
                <w:szCs w:val="24"/>
              </w:rPr>
              <w:t>шт</w:t>
            </w:r>
            <w:proofErr w:type="spellEnd"/>
          </w:p>
        </w:tc>
        <w:tc>
          <w:tcPr>
            <w:tcW w:w="1417" w:type="dxa"/>
            <w:tcBorders>
              <w:top w:val="single" w:sz="4" w:space="0" w:color="auto"/>
              <w:left w:val="single" w:sz="4" w:space="0" w:color="auto"/>
              <w:bottom w:val="single" w:sz="4" w:space="0" w:color="auto"/>
              <w:right w:val="single" w:sz="4" w:space="0" w:color="auto"/>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5</w:t>
            </w:r>
          </w:p>
        </w:tc>
      </w:tr>
      <w:tr w:rsidR="002D428F" w:rsidRPr="001A27E0" w:rsidTr="001A27E0">
        <w:tc>
          <w:tcPr>
            <w:tcW w:w="709" w:type="dxa"/>
            <w:tcBorders>
              <w:top w:val="single" w:sz="4" w:space="0" w:color="auto"/>
              <w:left w:val="single" w:sz="4" w:space="0" w:color="auto"/>
              <w:bottom w:val="single" w:sz="4" w:space="0" w:color="auto"/>
              <w:right w:val="single" w:sz="4" w:space="0" w:color="auto"/>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7</w:t>
            </w:r>
          </w:p>
        </w:tc>
        <w:tc>
          <w:tcPr>
            <w:tcW w:w="6378" w:type="dxa"/>
            <w:tcBorders>
              <w:top w:val="single" w:sz="4" w:space="0" w:color="auto"/>
              <w:left w:val="nil"/>
              <w:bottom w:val="single" w:sz="4" w:space="0" w:color="auto"/>
              <w:right w:val="nil"/>
            </w:tcBorders>
          </w:tcPr>
          <w:p w:rsidR="002D428F" w:rsidRPr="001A27E0" w:rsidRDefault="002D428F" w:rsidP="00B115B3">
            <w:pPr>
              <w:keepLines/>
              <w:autoSpaceDE w:val="0"/>
              <w:autoSpaceDN w:val="0"/>
              <w:spacing w:line="240" w:lineRule="atLeast"/>
              <w:contextualSpacing/>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 xml:space="preserve">Знімання асфальтобетонних покриттів доріг товщиною </w:t>
            </w:r>
            <w:r w:rsidR="00B115B3">
              <w:rPr>
                <w:rFonts w:ascii="Times New Roman" w:hAnsi="Times New Roman" w:cs="Times New Roman"/>
                <w:color w:val="000000" w:themeColor="text1"/>
                <w:spacing w:val="-3"/>
                <w:sz w:val="24"/>
                <w:szCs w:val="24"/>
              </w:rPr>
              <w:t>5</w:t>
            </w:r>
            <w:bookmarkStart w:id="0" w:name="_GoBack"/>
            <w:bookmarkEnd w:id="0"/>
            <w:r w:rsidRPr="001A27E0">
              <w:rPr>
                <w:rFonts w:ascii="Times New Roman" w:hAnsi="Times New Roman" w:cs="Times New Roman"/>
                <w:color w:val="000000" w:themeColor="text1"/>
                <w:spacing w:val="-3"/>
                <w:sz w:val="24"/>
                <w:szCs w:val="24"/>
              </w:rPr>
              <w:t xml:space="preserve"> см за допомогою машин для холодного фрезерування</w:t>
            </w:r>
          </w:p>
        </w:tc>
        <w:tc>
          <w:tcPr>
            <w:tcW w:w="1560" w:type="dxa"/>
            <w:tcBorders>
              <w:top w:val="single" w:sz="4" w:space="0" w:color="auto"/>
              <w:left w:val="single" w:sz="4" w:space="0" w:color="auto"/>
              <w:bottom w:val="single" w:sz="4" w:space="0" w:color="auto"/>
              <w:right w:val="nil"/>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м2</w:t>
            </w:r>
          </w:p>
        </w:tc>
        <w:tc>
          <w:tcPr>
            <w:tcW w:w="1417" w:type="dxa"/>
            <w:tcBorders>
              <w:top w:val="single" w:sz="4" w:space="0" w:color="auto"/>
              <w:left w:val="single" w:sz="4" w:space="0" w:color="auto"/>
              <w:bottom w:val="single" w:sz="4" w:space="0" w:color="auto"/>
              <w:right w:val="single" w:sz="4" w:space="0" w:color="auto"/>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4250</w:t>
            </w:r>
          </w:p>
        </w:tc>
      </w:tr>
      <w:tr w:rsidR="002D428F" w:rsidRPr="001A27E0" w:rsidTr="001A27E0">
        <w:tc>
          <w:tcPr>
            <w:tcW w:w="709" w:type="dxa"/>
            <w:tcBorders>
              <w:top w:val="single" w:sz="4" w:space="0" w:color="auto"/>
              <w:left w:val="single" w:sz="4" w:space="0" w:color="auto"/>
              <w:bottom w:val="single" w:sz="4" w:space="0" w:color="auto"/>
              <w:right w:val="single" w:sz="4" w:space="0" w:color="auto"/>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8</w:t>
            </w:r>
          </w:p>
        </w:tc>
        <w:tc>
          <w:tcPr>
            <w:tcW w:w="6378" w:type="dxa"/>
            <w:tcBorders>
              <w:top w:val="single" w:sz="4" w:space="0" w:color="auto"/>
              <w:left w:val="nil"/>
              <w:bottom w:val="single" w:sz="4" w:space="0" w:color="auto"/>
              <w:right w:val="nil"/>
            </w:tcBorders>
          </w:tcPr>
          <w:p w:rsidR="002D428F" w:rsidRPr="002802DC" w:rsidRDefault="002D428F" w:rsidP="002D428F">
            <w:pPr>
              <w:keepLines/>
              <w:autoSpaceDE w:val="0"/>
              <w:autoSpaceDN w:val="0"/>
              <w:spacing w:line="240" w:lineRule="atLeast"/>
              <w:contextualSpacing/>
              <w:rPr>
                <w:rFonts w:ascii="Times New Roman" w:hAnsi="Times New Roman" w:cs="Times New Roman"/>
                <w:color w:val="000000" w:themeColor="text1"/>
                <w:spacing w:val="-3"/>
                <w:sz w:val="24"/>
                <w:szCs w:val="24"/>
              </w:rPr>
            </w:pPr>
            <w:r w:rsidRPr="002802DC">
              <w:rPr>
                <w:rFonts w:ascii="Times New Roman" w:hAnsi="Times New Roman" w:cs="Times New Roman"/>
                <w:color w:val="000000" w:themeColor="text1"/>
                <w:spacing w:val="-3"/>
                <w:sz w:val="24"/>
                <w:szCs w:val="24"/>
              </w:rPr>
              <w:t>Розливання бітумної емульсії ЕК-Ш-50 (0,6кг/м</w:t>
            </w:r>
            <w:r w:rsidRPr="002802DC">
              <w:rPr>
                <w:rFonts w:ascii="Times New Roman" w:hAnsi="Times New Roman" w:cs="Times New Roman"/>
                <w:color w:val="000000" w:themeColor="text1"/>
                <w:spacing w:val="-3"/>
                <w:sz w:val="24"/>
                <w:szCs w:val="24"/>
                <w:vertAlign w:val="superscript"/>
              </w:rPr>
              <w:t>2</w:t>
            </w:r>
            <w:r w:rsidRPr="002802DC">
              <w:rPr>
                <w:rFonts w:ascii="Times New Roman" w:hAnsi="Times New Roman" w:cs="Times New Roman"/>
                <w:color w:val="000000" w:themeColor="text1"/>
                <w:spacing w:val="-3"/>
                <w:sz w:val="24"/>
                <w:szCs w:val="24"/>
              </w:rPr>
              <w:t>)</w:t>
            </w:r>
          </w:p>
        </w:tc>
        <w:tc>
          <w:tcPr>
            <w:tcW w:w="1560" w:type="dxa"/>
            <w:tcBorders>
              <w:top w:val="single" w:sz="4" w:space="0" w:color="auto"/>
              <w:left w:val="single" w:sz="4" w:space="0" w:color="auto"/>
              <w:bottom w:val="single" w:sz="4" w:space="0" w:color="auto"/>
              <w:right w:val="nil"/>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pacing w:val="-3"/>
                <w:sz w:val="24"/>
                <w:szCs w:val="24"/>
                <w:vertAlign w:val="superscript"/>
              </w:rPr>
            </w:pPr>
            <w:r w:rsidRPr="001A27E0">
              <w:rPr>
                <w:rFonts w:ascii="Times New Roman" w:hAnsi="Times New Roman" w:cs="Times New Roman"/>
                <w:color w:val="000000" w:themeColor="text1"/>
                <w:spacing w:val="-3"/>
                <w:sz w:val="24"/>
                <w:szCs w:val="24"/>
              </w:rPr>
              <w:t>м</w:t>
            </w:r>
            <w:r w:rsidRPr="001A27E0">
              <w:rPr>
                <w:rFonts w:ascii="Times New Roman" w:hAnsi="Times New Roman" w:cs="Times New Roman"/>
                <w:color w:val="000000" w:themeColor="text1"/>
                <w:spacing w:val="-3"/>
                <w:sz w:val="24"/>
                <w:szCs w:val="24"/>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2000</w:t>
            </w:r>
          </w:p>
        </w:tc>
      </w:tr>
      <w:tr w:rsidR="002D428F" w:rsidRPr="001A27E0" w:rsidTr="001A27E0">
        <w:tc>
          <w:tcPr>
            <w:tcW w:w="709" w:type="dxa"/>
            <w:tcBorders>
              <w:top w:val="single" w:sz="4" w:space="0" w:color="auto"/>
              <w:left w:val="single" w:sz="4" w:space="0" w:color="auto"/>
              <w:bottom w:val="single" w:sz="4" w:space="0" w:color="auto"/>
              <w:right w:val="single" w:sz="4" w:space="0" w:color="auto"/>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9</w:t>
            </w:r>
          </w:p>
        </w:tc>
        <w:tc>
          <w:tcPr>
            <w:tcW w:w="6378" w:type="dxa"/>
            <w:tcBorders>
              <w:top w:val="single" w:sz="4" w:space="0" w:color="auto"/>
              <w:left w:val="nil"/>
              <w:bottom w:val="single" w:sz="4" w:space="0" w:color="auto"/>
              <w:right w:val="nil"/>
            </w:tcBorders>
          </w:tcPr>
          <w:p w:rsidR="002D428F" w:rsidRPr="001A27E0" w:rsidRDefault="002D428F" w:rsidP="002D428F">
            <w:pPr>
              <w:keepLines/>
              <w:autoSpaceDE w:val="0"/>
              <w:autoSpaceDN w:val="0"/>
              <w:spacing w:line="240" w:lineRule="atLeast"/>
              <w:contextualSpacing/>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Вивезення сміття на відстань до 5 км.</w:t>
            </w:r>
          </w:p>
        </w:tc>
        <w:tc>
          <w:tcPr>
            <w:tcW w:w="1560" w:type="dxa"/>
            <w:tcBorders>
              <w:top w:val="single" w:sz="4" w:space="0" w:color="auto"/>
              <w:left w:val="single" w:sz="4" w:space="0" w:color="auto"/>
              <w:bottom w:val="single" w:sz="4" w:space="0" w:color="auto"/>
              <w:right w:val="nil"/>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т</w:t>
            </w:r>
          </w:p>
        </w:tc>
        <w:tc>
          <w:tcPr>
            <w:tcW w:w="1417" w:type="dxa"/>
            <w:tcBorders>
              <w:top w:val="single" w:sz="4" w:space="0" w:color="auto"/>
              <w:left w:val="single" w:sz="4" w:space="0" w:color="auto"/>
              <w:bottom w:val="single" w:sz="4" w:space="0" w:color="auto"/>
              <w:right w:val="single" w:sz="4" w:space="0" w:color="auto"/>
            </w:tcBorders>
          </w:tcPr>
          <w:p w:rsidR="002D428F" w:rsidRPr="001A27E0" w:rsidRDefault="002D428F" w:rsidP="002D428F">
            <w:pPr>
              <w:keepLines/>
              <w:autoSpaceDE w:val="0"/>
              <w:autoSpaceDN w:val="0"/>
              <w:spacing w:line="240" w:lineRule="atLeast"/>
              <w:contextualSpacing/>
              <w:jc w:val="center"/>
              <w:rPr>
                <w:rFonts w:ascii="Times New Roman" w:hAnsi="Times New Roman" w:cs="Times New Roman"/>
                <w:color w:val="000000" w:themeColor="text1"/>
                <w:spacing w:val="-3"/>
                <w:sz w:val="24"/>
                <w:szCs w:val="24"/>
              </w:rPr>
            </w:pPr>
            <w:r w:rsidRPr="001A27E0">
              <w:rPr>
                <w:rFonts w:ascii="Times New Roman" w:hAnsi="Times New Roman" w:cs="Times New Roman"/>
                <w:color w:val="000000" w:themeColor="text1"/>
                <w:spacing w:val="-3"/>
                <w:sz w:val="24"/>
                <w:szCs w:val="24"/>
              </w:rPr>
              <w:t>158</w:t>
            </w:r>
          </w:p>
        </w:tc>
      </w:tr>
    </w:tbl>
    <w:p w:rsidR="001A27E0" w:rsidRPr="001A27E0" w:rsidRDefault="001A27E0" w:rsidP="002D428F">
      <w:pPr>
        <w:pStyle w:val="aa"/>
        <w:spacing w:line="240" w:lineRule="atLeast"/>
        <w:ind w:firstLine="709"/>
        <w:contextualSpacing/>
        <w:jc w:val="both"/>
        <w:rPr>
          <w:rFonts w:ascii="Times New Roman" w:hAnsi="Times New Roman"/>
          <w:color w:val="000000" w:themeColor="text1"/>
        </w:rPr>
      </w:pPr>
      <w:r w:rsidRPr="001A27E0">
        <w:rPr>
          <w:rFonts w:ascii="Times New Roman" w:hAnsi="Times New Roman"/>
          <w:b/>
          <w:color w:val="000000" w:themeColor="text1"/>
        </w:rPr>
        <w:t>Примітка:</w:t>
      </w:r>
      <w:r w:rsidRPr="001A27E0">
        <w:rPr>
          <w:rFonts w:ascii="Times New Roman" w:hAnsi="Times New Roman"/>
          <w:color w:val="000000" w:themeColor="text1"/>
        </w:rPr>
        <w:t xml:space="preserve"> </w:t>
      </w:r>
      <w:r w:rsidRPr="001A27E0">
        <w:rPr>
          <w:rFonts w:ascii="Times New Roman" w:hAnsi="Times New Roman"/>
          <w:i/>
          <w:color w:val="000000" w:themeColor="text1"/>
        </w:rPr>
        <w:t>об’єми робіт в ході виконання можуть змінюватись відповідно до нагальної потреби мешканців Жмеринської міської територіальної громади у межах договірних відносин.</w:t>
      </w:r>
      <w:r w:rsidRPr="001A27E0">
        <w:rPr>
          <w:rFonts w:ascii="Times New Roman" w:hAnsi="Times New Roman"/>
          <w:color w:val="000000" w:themeColor="text1"/>
        </w:rPr>
        <w:t xml:space="preserve"> </w:t>
      </w:r>
    </w:p>
    <w:p w:rsidR="001A27E0" w:rsidRPr="001A27E0" w:rsidRDefault="001A27E0" w:rsidP="001A27E0">
      <w:pPr>
        <w:spacing w:line="240" w:lineRule="atLeast"/>
        <w:ind w:firstLine="709"/>
        <w:contextualSpacing/>
        <w:jc w:val="both"/>
        <w:rPr>
          <w:rStyle w:val="ae"/>
          <w:rFonts w:ascii="Times New Roman" w:hAnsi="Times New Roman" w:cs="Times New Roman"/>
          <w:b w:val="0"/>
          <w:sz w:val="24"/>
          <w:szCs w:val="24"/>
        </w:rPr>
      </w:pPr>
      <w:r w:rsidRPr="001A27E0">
        <w:rPr>
          <w:rStyle w:val="ae"/>
          <w:rFonts w:ascii="Times New Roman" w:hAnsi="Times New Roman" w:cs="Times New Roman"/>
          <w:b w:val="0"/>
          <w:sz w:val="24"/>
          <w:szCs w:val="24"/>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оголошення Замовника.</w:t>
      </w:r>
    </w:p>
    <w:p w:rsidR="001A27E0" w:rsidRPr="001A27E0" w:rsidRDefault="001A27E0" w:rsidP="001A27E0">
      <w:pPr>
        <w:spacing w:line="240" w:lineRule="atLeast"/>
        <w:ind w:left="-32" w:firstLine="741"/>
        <w:contextualSpacing/>
        <w:jc w:val="both"/>
        <w:rPr>
          <w:rStyle w:val="ae"/>
          <w:rFonts w:ascii="Times New Roman" w:hAnsi="Times New Roman" w:cs="Times New Roman"/>
          <w:b w:val="0"/>
          <w:sz w:val="24"/>
          <w:szCs w:val="24"/>
        </w:rPr>
      </w:pPr>
      <w:r w:rsidRPr="001A27E0">
        <w:rPr>
          <w:rStyle w:val="ae"/>
          <w:rFonts w:ascii="Times New Roman" w:hAnsi="Times New Roman" w:cs="Times New Roman"/>
          <w:b w:val="0"/>
          <w:sz w:val="24"/>
          <w:szCs w:val="24"/>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w:t>
      </w:r>
      <w:r w:rsidRPr="001A27E0">
        <w:rPr>
          <w:rStyle w:val="ae"/>
          <w:rFonts w:ascii="Times New Roman" w:hAnsi="Times New Roman" w:cs="Times New Roman"/>
          <w:b w:val="0"/>
          <w:sz w:val="24"/>
          <w:szCs w:val="24"/>
        </w:rPr>
        <w:lastRenderedPageBreak/>
        <w:t>листопада 2021 № 281 (далі по тексту Настанова). Ціна пропозиції Учасника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будівельних організацій, кошти на сплату податків, зборів, обов’язкових платежів тощо.</w:t>
      </w:r>
    </w:p>
    <w:p w:rsidR="001A27E0" w:rsidRPr="001A27E0" w:rsidRDefault="001A27E0" w:rsidP="001A27E0">
      <w:pPr>
        <w:spacing w:line="240" w:lineRule="atLeast"/>
        <w:ind w:left="-32" w:firstLine="741"/>
        <w:contextualSpacing/>
        <w:jc w:val="both"/>
        <w:rPr>
          <w:rStyle w:val="ae"/>
          <w:rFonts w:ascii="Times New Roman" w:hAnsi="Times New Roman" w:cs="Times New Roman"/>
          <w:b w:val="0"/>
          <w:sz w:val="24"/>
          <w:szCs w:val="24"/>
        </w:rPr>
      </w:pPr>
      <w:r w:rsidRPr="001A27E0">
        <w:rPr>
          <w:rStyle w:val="ae"/>
          <w:rFonts w:ascii="Times New Roman" w:hAnsi="Times New Roman" w:cs="Times New Roman"/>
          <w:b w:val="0"/>
          <w:sz w:val="24"/>
          <w:szCs w:val="24"/>
        </w:rPr>
        <w:t>В ціні пропозиції Учасник визначає вартість усіх запропонованих до виконання обсягів робіт. Ціна пропозиції Учасника розраховується на підставі нормативної потреби в трудових і матеріально-технічних ресурсах, необхідних для здійснення всіх видів та обсягів робіт по об’єкту, передбачених технічною специфікацією (технічним завданням) до оголошення Замовника та поточних цін на них. Вартість експлуатації будівельних машин та механізмів у складі прямих витрат Учасник визначає за Настановою. Загальновиробничі та адміністративні витрати в складі ціни пропозиції Учасника обчислюються на підставі положень Настанови, виходячи зі структури цих витрат, яка склалася в підрядній організації за попередній період з урахуванням потужності будівельної організації - підрядника (з урахуванням трудовитрат робітників, зайнятих на керуванні і обслуговуванні власних машин та механізмів).</w:t>
      </w:r>
    </w:p>
    <w:p w:rsidR="001A27E0" w:rsidRPr="001A27E0" w:rsidRDefault="001A27E0" w:rsidP="001A27E0">
      <w:pPr>
        <w:spacing w:line="240" w:lineRule="atLeast"/>
        <w:ind w:left="-32" w:firstLine="741"/>
        <w:contextualSpacing/>
        <w:jc w:val="both"/>
        <w:rPr>
          <w:rStyle w:val="ae"/>
          <w:rFonts w:ascii="Times New Roman" w:hAnsi="Times New Roman" w:cs="Times New Roman"/>
          <w:b w:val="0"/>
          <w:sz w:val="24"/>
          <w:szCs w:val="24"/>
        </w:rPr>
      </w:pPr>
      <w:r w:rsidRPr="001A27E0">
        <w:rPr>
          <w:rStyle w:val="ae"/>
          <w:rFonts w:ascii="Times New Roman" w:hAnsi="Times New Roman" w:cs="Times New Roman"/>
          <w:b w:val="0"/>
          <w:sz w:val="24"/>
          <w:szCs w:val="24"/>
        </w:rPr>
        <w:t xml:space="preserve">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 </w:t>
      </w:r>
    </w:p>
    <w:p w:rsidR="001A27E0" w:rsidRDefault="001A27E0" w:rsidP="001A27E0">
      <w:pPr>
        <w:spacing w:line="240" w:lineRule="atLeast"/>
        <w:ind w:left="-32" w:firstLine="741"/>
        <w:contextualSpacing/>
        <w:jc w:val="both"/>
        <w:rPr>
          <w:rStyle w:val="ae"/>
          <w:rFonts w:ascii="Times New Roman" w:hAnsi="Times New Roman" w:cs="Times New Roman"/>
          <w:b w:val="0"/>
          <w:sz w:val="24"/>
          <w:szCs w:val="24"/>
        </w:rPr>
      </w:pPr>
      <w:r w:rsidRPr="001A27E0">
        <w:rPr>
          <w:rStyle w:val="ae"/>
          <w:rFonts w:ascii="Times New Roman" w:hAnsi="Times New Roman" w:cs="Times New Roman"/>
          <w:b w:val="0"/>
          <w:sz w:val="24"/>
          <w:szCs w:val="24"/>
        </w:rPr>
        <w:t xml:space="preserve">Вид договірної ціни – тверда. Розрахунок договірної ціни бажано здійснювати Учасникам у програмному комплексі АВК-5 (поточна редакція), в якому враховані останні зміни в галузевих стандартах з ціноутворення. 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оголошення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w:t>
      </w:r>
      <w:r>
        <w:rPr>
          <w:rStyle w:val="ae"/>
          <w:rFonts w:ascii="Times New Roman" w:hAnsi="Times New Roman" w:cs="Times New Roman"/>
          <w:b w:val="0"/>
          <w:sz w:val="24"/>
          <w:szCs w:val="24"/>
        </w:rPr>
        <w:t>техніки та безпечних умов праці.</w:t>
      </w:r>
    </w:p>
    <w:p w:rsidR="001A27E0" w:rsidRPr="001A27E0" w:rsidRDefault="001A27E0" w:rsidP="001A27E0">
      <w:pPr>
        <w:spacing w:line="240" w:lineRule="atLeast"/>
        <w:ind w:left="-32" w:firstLine="741"/>
        <w:contextualSpacing/>
        <w:jc w:val="both"/>
        <w:rPr>
          <w:rStyle w:val="ae"/>
          <w:rFonts w:ascii="Times New Roman" w:hAnsi="Times New Roman" w:cs="Times New Roman"/>
          <w:b w:val="0"/>
          <w:sz w:val="24"/>
          <w:szCs w:val="24"/>
        </w:rPr>
      </w:pPr>
      <w:r w:rsidRPr="001A27E0">
        <w:rPr>
          <w:rStyle w:val="ae"/>
          <w:rFonts w:ascii="Times New Roman" w:hAnsi="Times New Roman" w:cs="Times New Roman"/>
          <w:b w:val="0"/>
          <w:sz w:val="24"/>
          <w:szCs w:val="24"/>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зобов’язані:</w:t>
      </w:r>
    </w:p>
    <w:p w:rsidR="001A27E0" w:rsidRPr="001A27E0" w:rsidRDefault="001A27E0" w:rsidP="001A27E0">
      <w:pPr>
        <w:pStyle w:val="ac"/>
        <w:numPr>
          <w:ilvl w:val="0"/>
          <w:numId w:val="2"/>
        </w:numPr>
        <w:spacing w:line="240" w:lineRule="atLeast"/>
        <w:ind w:left="0" w:firstLine="284"/>
        <w:contextualSpacing/>
        <w:jc w:val="both"/>
        <w:rPr>
          <w:rStyle w:val="ae"/>
          <w:b w:val="0"/>
        </w:rPr>
      </w:pPr>
      <w:r w:rsidRPr="001A27E0">
        <w:rPr>
          <w:rStyle w:val="ae"/>
          <w:b w:val="0"/>
        </w:rPr>
        <w:t>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1A27E0" w:rsidRPr="001A27E0" w:rsidRDefault="001A27E0" w:rsidP="001A27E0">
      <w:pPr>
        <w:pStyle w:val="ac"/>
        <w:numPr>
          <w:ilvl w:val="0"/>
          <w:numId w:val="2"/>
        </w:numPr>
        <w:spacing w:line="240" w:lineRule="atLeast"/>
        <w:ind w:left="0" w:firstLine="284"/>
        <w:contextualSpacing/>
        <w:jc w:val="both"/>
        <w:rPr>
          <w:rStyle w:val="ae"/>
          <w:b w:val="0"/>
        </w:rPr>
      </w:pPr>
      <w:r w:rsidRPr="001A27E0">
        <w:rPr>
          <w:rStyle w:val="ae"/>
          <w:b w:val="0"/>
        </w:rPr>
        <w:t>впроваджувати у повному обсязі заходи щодо безпеки дорожнього руху при здійсненні</w:t>
      </w:r>
    </w:p>
    <w:p w:rsidR="001A27E0" w:rsidRPr="001A27E0" w:rsidRDefault="001A27E0" w:rsidP="001A27E0">
      <w:pPr>
        <w:pStyle w:val="ac"/>
        <w:spacing w:line="240" w:lineRule="atLeast"/>
        <w:contextualSpacing/>
        <w:jc w:val="both"/>
        <w:rPr>
          <w:rStyle w:val="ae"/>
          <w:b w:val="0"/>
        </w:rPr>
      </w:pPr>
      <w:r w:rsidRPr="001A27E0">
        <w:rPr>
          <w:rStyle w:val="ae"/>
          <w:b w:val="0"/>
        </w:rPr>
        <w:t>ремонту доріг, вулиць та залізничних переїздів; шляхопроводів, інших споруд;</w:t>
      </w:r>
    </w:p>
    <w:p w:rsidR="001A27E0" w:rsidRPr="001A27E0" w:rsidRDefault="001A27E0" w:rsidP="001A27E0">
      <w:pPr>
        <w:pStyle w:val="ac"/>
        <w:numPr>
          <w:ilvl w:val="0"/>
          <w:numId w:val="2"/>
        </w:numPr>
        <w:spacing w:line="240" w:lineRule="atLeast"/>
        <w:ind w:left="0" w:firstLine="284"/>
        <w:contextualSpacing/>
        <w:jc w:val="both"/>
        <w:rPr>
          <w:rStyle w:val="ae"/>
          <w:b w:val="0"/>
        </w:rPr>
      </w:pPr>
      <w:r w:rsidRPr="001A27E0">
        <w:rPr>
          <w:rStyle w:val="ae"/>
          <w:b w:val="0"/>
        </w:rPr>
        <w:t>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w:t>
      </w:r>
    </w:p>
    <w:p w:rsidR="001A27E0" w:rsidRPr="001A27E0" w:rsidRDefault="001A27E0" w:rsidP="001A27E0">
      <w:pPr>
        <w:pStyle w:val="ac"/>
        <w:spacing w:line="240" w:lineRule="atLeast"/>
        <w:contextualSpacing/>
        <w:jc w:val="both"/>
        <w:rPr>
          <w:rStyle w:val="ae"/>
          <w:b w:val="0"/>
        </w:rPr>
      </w:pPr>
      <w:r w:rsidRPr="001A27E0">
        <w:rPr>
          <w:rStyle w:val="ae"/>
          <w:b w:val="0"/>
        </w:rPr>
        <w:t>вогнями, передбаченими діючими нормами;</w:t>
      </w:r>
    </w:p>
    <w:p w:rsidR="001A27E0" w:rsidRPr="001A27E0" w:rsidRDefault="001A27E0" w:rsidP="001A27E0">
      <w:pPr>
        <w:pStyle w:val="ac"/>
        <w:numPr>
          <w:ilvl w:val="0"/>
          <w:numId w:val="2"/>
        </w:numPr>
        <w:spacing w:line="240" w:lineRule="atLeast"/>
        <w:ind w:left="0" w:firstLine="284"/>
        <w:contextualSpacing/>
        <w:jc w:val="both"/>
        <w:rPr>
          <w:rStyle w:val="ae"/>
          <w:b w:val="0"/>
        </w:rPr>
      </w:pPr>
      <w:r w:rsidRPr="001A27E0">
        <w:rPr>
          <w:rStyle w:val="ae"/>
          <w:b w:val="0"/>
        </w:rPr>
        <w:t>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rsidR="001A27E0" w:rsidRPr="001A27E0" w:rsidRDefault="001A27E0" w:rsidP="001A27E0">
      <w:pPr>
        <w:pStyle w:val="ac"/>
        <w:numPr>
          <w:ilvl w:val="0"/>
          <w:numId w:val="2"/>
        </w:numPr>
        <w:spacing w:line="240" w:lineRule="atLeast"/>
        <w:ind w:left="0" w:firstLine="284"/>
        <w:contextualSpacing/>
        <w:jc w:val="both"/>
        <w:rPr>
          <w:rStyle w:val="ae"/>
          <w:b w:val="0"/>
        </w:rPr>
      </w:pPr>
      <w:r w:rsidRPr="001A27E0">
        <w:rPr>
          <w:rStyle w:val="ae"/>
          <w:b w:val="0"/>
        </w:rPr>
        <w:t>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rsidR="001A27E0" w:rsidRPr="001A27E0" w:rsidRDefault="001A27E0" w:rsidP="001A27E0">
      <w:pPr>
        <w:pStyle w:val="ac"/>
        <w:spacing w:line="240" w:lineRule="atLeast"/>
        <w:ind w:left="284"/>
        <w:contextualSpacing/>
        <w:jc w:val="both"/>
        <w:rPr>
          <w:rStyle w:val="ae"/>
          <w:b w:val="0"/>
          <w:highlight w:val="green"/>
        </w:rPr>
      </w:pPr>
      <w:r w:rsidRPr="001A27E0">
        <w:rPr>
          <w:rStyle w:val="ae"/>
          <w:b w:val="0"/>
        </w:rPr>
        <w:t xml:space="preserve">-     обладнувати їх технічними засобами регулювання дорожнього руху, тощо </w:t>
      </w:r>
    </w:p>
    <w:p w:rsidR="001A27E0" w:rsidRDefault="001A27E0" w:rsidP="001A27E0">
      <w:pPr>
        <w:pStyle w:val="ac"/>
        <w:spacing w:line="240" w:lineRule="atLeast"/>
        <w:ind w:firstLine="709"/>
        <w:contextualSpacing/>
        <w:jc w:val="both"/>
        <w:rPr>
          <w:rStyle w:val="ae"/>
          <w:b w:val="0"/>
        </w:rPr>
      </w:pPr>
      <w:r w:rsidRPr="001A27E0">
        <w:rPr>
          <w:rStyle w:val="ae"/>
          <w:b w:val="0"/>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1A27E0" w:rsidRPr="001A27E0" w:rsidRDefault="001A27E0" w:rsidP="001A27E0">
      <w:pPr>
        <w:pStyle w:val="ac"/>
        <w:spacing w:line="240" w:lineRule="atLeast"/>
        <w:ind w:firstLine="709"/>
        <w:contextualSpacing/>
        <w:jc w:val="both"/>
      </w:pPr>
      <w:r w:rsidRPr="001A27E0">
        <w:t>Послуга повинна надаватись з додержанням вимог Закону України «Про благоустрій населених пунктів» та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23.09.2003р. №154, зареєстрованого в Міністерстві юстиції України 12.02.2004р. № 189/8788.</w:t>
      </w:r>
    </w:p>
    <w:p w:rsidR="008A5775" w:rsidRPr="001A27E0" w:rsidRDefault="001A27E0" w:rsidP="001A27E0">
      <w:pPr>
        <w:pStyle w:val="ac"/>
        <w:spacing w:line="240" w:lineRule="atLeast"/>
        <w:ind w:firstLine="709"/>
        <w:contextualSpacing/>
        <w:jc w:val="both"/>
        <w:rPr>
          <w:bCs/>
        </w:rPr>
      </w:pPr>
      <w:r w:rsidRPr="001A27E0">
        <w:lastRenderedPageBreak/>
        <w:t>В разі, якщо пропозиція Учасника містить не всі види робіт та матеріалів, або учасником змінені обсяги робіт та склад матеріалів, пропозиція учасника вважається такою, що не відповідає вимогам Технічного завдання документації та відхиляється Замовником.</w:t>
      </w:r>
    </w:p>
    <w:sectPr w:rsidR="008A5775" w:rsidRPr="001A27E0" w:rsidSect="001A27E0">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15:restartNumberingAfterBreak="0">
    <w:nsid w:val="6D3D167F"/>
    <w:multiLevelType w:val="multilevel"/>
    <w:tmpl w:val="97E25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75"/>
    <w:rsid w:val="001A27E0"/>
    <w:rsid w:val="002802DC"/>
    <w:rsid w:val="002D428F"/>
    <w:rsid w:val="008A5775"/>
    <w:rsid w:val="00B115B3"/>
    <w:rsid w:val="00B54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51CD"/>
  <w15:docId w15:val="{0015794B-4BEF-45BE-8958-CD372BD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link w:val="a9"/>
    <w:uiPriority w:val="34"/>
    <w:qFormat/>
    <w:rsid w:val="001A27E0"/>
    <w:pPr>
      <w:spacing w:after="0" w:line="240" w:lineRule="auto"/>
      <w:ind w:left="720"/>
      <w:contextualSpacing/>
    </w:pPr>
    <w:rPr>
      <w:rFonts w:ascii="Times New Roman" w:eastAsia="Batang" w:hAnsi="Times New Roman" w:cs="Times New Roman"/>
      <w:sz w:val="20"/>
      <w:szCs w:val="20"/>
      <w:lang w:val="ru-RU"/>
    </w:rPr>
  </w:style>
  <w:style w:type="character" w:customStyle="1" w:styleId="a9">
    <w:name w:val="Абзац списка Знак"/>
    <w:link w:val="a8"/>
    <w:uiPriority w:val="34"/>
    <w:locked/>
    <w:rsid w:val="001A27E0"/>
    <w:rPr>
      <w:rFonts w:ascii="Times New Roman" w:eastAsia="Batang" w:hAnsi="Times New Roman" w:cs="Times New Roman"/>
      <w:sz w:val="20"/>
      <w:szCs w:val="20"/>
      <w:lang w:val="ru-RU"/>
    </w:rPr>
  </w:style>
  <w:style w:type="paragraph" w:styleId="aa">
    <w:name w:val="No Spacing"/>
    <w:link w:val="ab"/>
    <w:qFormat/>
    <w:rsid w:val="001A27E0"/>
    <w:pPr>
      <w:spacing w:after="0" w:line="240" w:lineRule="auto"/>
    </w:pPr>
    <w:rPr>
      <w:rFonts w:cs="Times New Roman"/>
      <w:lang w:eastAsia="en-US"/>
    </w:rPr>
  </w:style>
  <w:style w:type="character" w:customStyle="1" w:styleId="ab">
    <w:name w:val="Без интервала Знак"/>
    <w:link w:val="aa"/>
    <w:locked/>
    <w:rsid w:val="001A27E0"/>
    <w:rPr>
      <w:rFonts w:cs="Times New Roman"/>
      <w:lang w:eastAsia="en-US"/>
    </w:rPr>
  </w:style>
  <w:style w:type="paragraph" w:styleId="ac">
    <w:name w:val="Normal (Web)"/>
    <w:basedOn w:val="a"/>
    <w:link w:val="ad"/>
    <w:uiPriority w:val="99"/>
    <w:qFormat/>
    <w:rsid w:val="001A27E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Обычный (веб) Знак"/>
    <w:link w:val="ac"/>
    <w:uiPriority w:val="99"/>
    <w:qFormat/>
    <w:locked/>
    <w:rsid w:val="001A27E0"/>
    <w:rPr>
      <w:rFonts w:ascii="Times New Roman" w:eastAsia="Times New Roman" w:hAnsi="Times New Roman" w:cs="Times New Roman"/>
      <w:sz w:val="24"/>
      <w:szCs w:val="24"/>
      <w:lang w:eastAsia="uk-UA"/>
    </w:rPr>
  </w:style>
  <w:style w:type="character" w:styleId="ae">
    <w:name w:val="Strong"/>
    <w:basedOn w:val="a0"/>
    <w:uiPriority w:val="22"/>
    <w:qFormat/>
    <w:rsid w:val="001A2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Худенко Тетяна</dc:creator>
  <cp:lastModifiedBy>Пользователь</cp:lastModifiedBy>
  <cp:revision>3</cp:revision>
  <dcterms:created xsi:type="dcterms:W3CDTF">2024-02-29T14:20:00Z</dcterms:created>
  <dcterms:modified xsi:type="dcterms:W3CDTF">2024-02-29T14:24:00Z</dcterms:modified>
</cp:coreProperties>
</file>