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56" w:rsidRPr="006B0C70" w:rsidRDefault="00090F56" w:rsidP="00090F56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0C7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Додаток 1</w:t>
      </w:r>
    </w:p>
    <w:p w:rsidR="00090F56" w:rsidRDefault="00090F56" w:rsidP="00090F5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90F56" w:rsidRPr="00770C84" w:rsidRDefault="00090F56" w:rsidP="00090F5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70C8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090F56" w:rsidRPr="0073796A" w:rsidRDefault="00090F56" w:rsidP="00090F56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0F56" w:rsidRPr="00B701F3" w:rsidRDefault="00090F56" w:rsidP="00090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96A">
        <w:rPr>
          <w:rFonts w:ascii="Times New Roman" w:hAnsi="Times New Roman" w:cs="Times New Roman"/>
          <w:sz w:val="24"/>
          <w:szCs w:val="24"/>
          <w:lang w:eastAsia="ru-RU"/>
        </w:rPr>
        <w:t>Учасник за власним бажанням може надати додаткові матеріали про його відповід</w:t>
      </w:r>
      <w:r>
        <w:rPr>
          <w:rFonts w:ascii="Times New Roman" w:hAnsi="Times New Roman" w:cs="Times New Roman"/>
          <w:sz w:val="24"/>
          <w:szCs w:val="24"/>
          <w:lang w:eastAsia="ru-RU"/>
        </w:rPr>
        <w:t>ність кваліфікаційним критеріям</w:t>
      </w: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6975"/>
      </w:tblGrid>
      <w:tr w:rsidR="00090F56" w:rsidRPr="00374F14" w:rsidTr="00673CFA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6" w:rsidRPr="00374F14" w:rsidRDefault="00090F56" w:rsidP="00673CFA">
            <w:pPr>
              <w:widowControl w:val="0"/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374F14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6" w:rsidRPr="00374F14" w:rsidRDefault="00090F56" w:rsidP="00673CFA">
            <w:pPr>
              <w:widowControl w:val="0"/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374F14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Кваліфікаційні критерії, встановлені відповідно до ст.16 Закону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6" w:rsidRPr="00374F14" w:rsidRDefault="00090F56" w:rsidP="00673CFA">
            <w:pPr>
              <w:widowControl w:val="0"/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374F14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Документи,  які підтверджують відповідність Учасника встановленим кваліфікаційним критеріям</w:t>
            </w:r>
          </w:p>
        </w:tc>
      </w:tr>
      <w:tr w:rsidR="00090F56" w:rsidRPr="00374F14" w:rsidTr="00673CFA">
        <w:trPr>
          <w:trHeight w:val="4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6" w:rsidRPr="00374F14" w:rsidRDefault="00090F56" w:rsidP="00673CFA">
            <w:pPr>
              <w:widowControl w:val="0"/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  <w:p w:rsidR="00090F56" w:rsidRPr="00374F14" w:rsidRDefault="00090F56" w:rsidP="00673CFA">
            <w:pPr>
              <w:widowControl w:val="0"/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  <w:p w:rsidR="00090F56" w:rsidRPr="00374F14" w:rsidRDefault="00090F56" w:rsidP="00673CFA">
            <w:pPr>
              <w:widowControl w:val="0"/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  <w:p w:rsidR="00090F56" w:rsidRPr="00374F14" w:rsidRDefault="00090F56" w:rsidP="00673CFA">
            <w:pPr>
              <w:widowControl w:val="0"/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374F14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56" w:rsidRPr="00374F14" w:rsidRDefault="00090F56" w:rsidP="00673CFA">
            <w:pPr>
              <w:widowControl w:val="0"/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374F1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Наявність обладнання та матеріально-технічної бази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6" w:rsidRPr="00374F14" w:rsidRDefault="00090F56" w:rsidP="00673CFA">
            <w:pPr>
              <w:spacing w:after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74F1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1.1.Довідка у довільній формі про наявність обладнання та матеріально-технічної бази, необхідної для надання послуг, що є предметом закупівлі.</w:t>
            </w:r>
          </w:p>
          <w:p w:rsidR="00090F56" w:rsidRPr="00374F14" w:rsidRDefault="00090F56" w:rsidP="00673CFA">
            <w:pPr>
              <w:spacing w:after="0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374F1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1.2.</w:t>
            </w:r>
            <w:r w:rsidRPr="00374F1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374F1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Для можливості реагування на тривожні сповіщення охоронної системи та нештатні ситуації Учасник повинен мати:</w:t>
            </w:r>
          </w:p>
          <w:p w:rsidR="00090F56" w:rsidRPr="00374F14" w:rsidRDefault="00090F56" w:rsidP="00673CF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74F1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1.2.1. цілодобовий, власний пульт централізованого спостереження (надати документи підтверджуючі право володіння та інформацію про місце розташування ПЦС із зазначенням номерів телефонів);</w:t>
            </w:r>
          </w:p>
          <w:p w:rsidR="00090F56" w:rsidRPr="00374F14" w:rsidRDefault="00090F56" w:rsidP="00673CF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74F1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1.2.2. наявність груп реагува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ння в м. Чернівці – не менше 2. Н</w:t>
            </w:r>
            <w:r w:rsidRPr="00374F1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адати </w:t>
            </w:r>
            <w:r w:rsidRPr="00374F1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копії документів про право володіння транспортом реагування, </w:t>
            </w:r>
            <w:proofErr w:type="spellStart"/>
            <w:r w:rsidRPr="00374F1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сканкопії</w:t>
            </w:r>
            <w:proofErr w:type="spellEnd"/>
            <w:r w:rsidRPr="00374F1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технічних паспортів, фотографії автомобілів реагування,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інформацію про місце дислокації з підтверджуючими документами ( право власності або договір оренди)</w:t>
            </w:r>
            <w:r w:rsidRPr="00374F1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;</w:t>
            </w:r>
          </w:p>
          <w:p w:rsidR="00090F56" w:rsidRPr="00374F14" w:rsidRDefault="00090F56" w:rsidP="00673CFA">
            <w:pPr>
              <w:spacing w:after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74F1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1.2.3. </w:t>
            </w:r>
            <w:r w:rsidRPr="00374F1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реагування повинен бути обладнаний у відповідності до Закону України «Про охоронну діяльність» (обладнаний засобами радіотехнічного зв’язку, </w:t>
            </w:r>
            <w:proofErr w:type="spellStart"/>
            <w:r w:rsidRPr="00374F14">
              <w:rPr>
                <w:rFonts w:ascii="Times New Roman" w:hAnsi="Times New Roman" w:cs="Times New Roman"/>
                <w:sz w:val="24"/>
                <w:szCs w:val="24"/>
              </w:rPr>
              <w:t>кольографічними</w:t>
            </w:r>
            <w:proofErr w:type="spellEnd"/>
            <w:r w:rsidRPr="00374F14">
              <w:rPr>
                <w:rFonts w:ascii="Times New Roman" w:hAnsi="Times New Roman" w:cs="Times New Roman"/>
                <w:sz w:val="24"/>
                <w:szCs w:val="24"/>
              </w:rPr>
              <w:t xml:space="preserve"> схемами та написами </w:t>
            </w:r>
            <w:proofErr w:type="spellStart"/>
            <w:r w:rsidRPr="00374F14">
              <w:rPr>
                <w:rFonts w:ascii="Times New Roman" w:hAnsi="Times New Roman" w:cs="Times New Roman"/>
                <w:sz w:val="24"/>
                <w:szCs w:val="24"/>
              </w:rPr>
              <w:t>засвідчуючими</w:t>
            </w:r>
            <w:proofErr w:type="spellEnd"/>
            <w:r w:rsidRPr="00374F14">
              <w:rPr>
                <w:rFonts w:ascii="Times New Roman" w:hAnsi="Times New Roman" w:cs="Times New Roman"/>
                <w:sz w:val="24"/>
                <w:szCs w:val="24"/>
              </w:rPr>
              <w:t xml:space="preserve"> належність до учасника, відповідними світловими сигнальними пристроями </w:t>
            </w:r>
            <w:proofErr w:type="spellStart"/>
            <w:r w:rsidRPr="00374F14">
              <w:rPr>
                <w:rFonts w:ascii="Times New Roman" w:hAnsi="Times New Roman" w:cs="Times New Roman"/>
                <w:sz w:val="24"/>
                <w:szCs w:val="24"/>
              </w:rPr>
              <w:t>автожовтого</w:t>
            </w:r>
            <w:proofErr w:type="spellEnd"/>
            <w:r w:rsidRPr="00374F14">
              <w:rPr>
                <w:rFonts w:ascii="Times New Roman" w:hAnsi="Times New Roman" w:cs="Times New Roman"/>
                <w:sz w:val="24"/>
                <w:szCs w:val="24"/>
              </w:rPr>
              <w:t xml:space="preserve"> (оранжевого) кольору (надати </w:t>
            </w:r>
            <w:proofErr w:type="spellStart"/>
            <w:r w:rsidRPr="00374F14">
              <w:rPr>
                <w:rFonts w:ascii="Times New Roman" w:hAnsi="Times New Roman" w:cs="Times New Roman"/>
                <w:sz w:val="24"/>
                <w:szCs w:val="24"/>
              </w:rPr>
              <w:t>сканкопії</w:t>
            </w:r>
            <w:proofErr w:type="spellEnd"/>
            <w:r w:rsidRPr="00374F14">
              <w:rPr>
                <w:rFonts w:ascii="Times New Roman" w:hAnsi="Times New Roman" w:cs="Times New Roman"/>
                <w:sz w:val="24"/>
                <w:szCs w:val="24"/>
              </w:rPr>
              <w:t xml:space="preserve"> дозволів на встановлення видані сервісними центрами МВС України) та звуковими сигналами у порядку, визначеному  МВС України);</w:t>
            </w:r>
          </w:p>
          <w:p w:rsidR="00090F56" w:rsidRPr="00374F14" w:rsidRDefault="00090F56" w:rsidP="00673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1.2.4. копія перепустки для пересування містом Чернівці під час комендантської години. Перепустка на території Чернівецької області під час дії комендантської години є офіційним документом, що видається комендатурою Чернівецька області та міста Чернівці відповідно до встановленого зразка.</w:t>
            </w:r>
          </w:p>
          <w:p w:rsidR="00090F56" w:rsidRPr="00374F14" w:rsidRDefault="00090F56" w:rsidP="00673CFA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highlight w:val="yellow"/>
              </w:rPr>
            </w:pPr>
          </w:p>
        </w:tc>
      </w:tr>
      <w:tr w:rsidR="00090F56" w:rsidRPr="00374F14" w:rsidTr="00673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6" w:rsidRPr="00374F14" w:rsidRDefault="00090F56" w:rsidP="00673CFA">
            <w:pPr>
              <w:widowControl w:val="0"/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  <w:p w:rsidR="00090F56" w:rsidRPr="00374F14" w:rsidRDefault="00090F56" w:rsidP="00673CFA">
            <w:pPr>
              <w:widowControl w:val="0"/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  <w:p w:rsidR="00090F56" w:rsidRPr="00374F14" w:rsidRDefault="00090F56" w:rsidP="00673CFA">
            <w:pPr>
              <w:widowControl w:val="0"/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  <w:p w:rsidR="00090F56" w:rsidRPr="00374F14" w:rsidRDefault="00090F56" w:rsidP="00673CFA">
            <w:pPr>
              <w:widowControl w:val="0"/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  <w:p w:rsidR="00090F56" w:rsidRPr="00374F14" w:rsidRDefault="00090F56" w:rsidP="00673CFA">
            <w:pPr>
              <w:widowControl w:val="0"/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374F14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56" w:rsidRPr="00374F14" w:rsidRDefault="00090F56" w:rsidP="00673CFA">
            <w:pPr>
              <w:widowControl w:val="0"/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374F1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6" w:rsidRPr="00374F14" w:rsidRDefault="00090F56" w:rsidP="00673CFA">
            <w:pPr>
              <w:spacing w:after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74F1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2.1.Довідка у довільній формі про працівників відповідної кваліфікації, які мають необхідні знання та досвід роботи охоронником та будуть залучені безпосередньо до виконання послуг, що є предметом закупівлі. Довідка має містити інформацію про наявність працівників, їх ПІБ (не менше 3 осіб-охоронників), їх вік, посаду, що обіймає в організації, їх досвід роботи за напрямком, відповідність вимогам пункту 17 </w:t>
            </w:r>
            <w:r w:rsidRPr="00374F1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>Ліцензійних умов провадження охоронної діяльності, затверджених постановою КМУ від 18.11.2015 № 960.</w:t>
            </w:r>
          </w:p>
          <w:p w:rsidR="00090F56" w:rsidRPr="00374F14" w:rsidRDefault="00090F56" w:rsidP="00673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F1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Надати </w:t>
            </w:r>
            <w:proofErr w:type="spellStart"/>
            <w:r w:rsidRPr="00374F1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скан</w:t>
            </w:r>
            <w:proofErr w:type="spellEnd"/>
            <w:r w:rsidRPr="00374F1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-копії сертифікатів нарколога, медичних довідок, довідки про несудимість всіх працівників, які були зазначені в довідці, </w:t>
            </w:r>
            <w:r w:rsidRPr="0037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 є дійсними на дату кінцевого строку подання тендерних пропозицій .</w:t>
            </w:r>
          </w:p>
          <w:p w:rsidR="00090F56" w:rsidRPr="00374F14" w:rsidRDefault="00090F56" w:rsidP="00673CFA">
            <w:pPr>
              <w:spacing w:after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highlight w:val="yellow"/>
              </w:rPr>
            </w:pPr>
            <w:r w:rsidRPr="00374F1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2.2.Особовий склад, залучений до охорони, повинен бути забезпечений засобами зв'язку з диспетчерською службою охоронної фірми та засобами ручної тривожної сигналізації з виходом на пульт централізованого спостереження (надати документальне підтвердження)</w:t>
            </w:r>
          </w:p>
        </w:tc>
      </w:tr>
      <w:tr w:rsidR="00090F56" w:rsidRPr="00374F14" w:rsidTr="00673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6" w:rsidRPr="00374F14" w:rsidRDefault="00090F56" w:rsidP="00673CFA">
            <w:pPr>
              <w:widowControl w:val="0"/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  <w:p w:rsidR="00090F56" w:rsidRPr="00374F14" w:rsidRDefault="00090F56" w:rsidP="00673CFA">
            <w:pPr>
              <w:widowControl w:val="0"/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  <w:p w:rsidR="00090F56" w:rsidRPr="00374F14" w:rsidRDefault="00090F56" w:rsidP="00673CFA">
            <w:pPr>
              <w:widowControl w:val="0"/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  <w:p w:rsidR="00090F56" w:rsidRPr="00374F14" w:rsidRDefault="00090F56" w:rsidP="00673CFA">
            <w:pPr>
              <w:widowControl w:val="0"/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</w:p>
          <w:p w:rsidR="00090F56" w:rsidRPr="00374F14" w:rsidRDefault="00090F56" w:rsidP="00673CFA">
            <w:pPr>
              <w:widowControl w:val="0"/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374F14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56" w:rsidRPr="00374F14" w:rsidRDefault="00090F56" w:rsidP="00673CFA">
            <w:pPr>
              <w:widowControl w:val="0"/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374F1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Наявність документально підтвердженого досвіду виконання аналогічних договорів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6" w:rsidRPr="00374F14" w:rsidRDefault="00090F56" w:rsidP="00673CF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 Інформаційна довідка про виконання аналогічного договору, терміном дії не давніше 2021- 2022 років, в якому повинно бути зазначено: повне найменування контрагента з яким укладено договір, номер та дата договору, код ЄДРПОУ та адреса контрагента, предмет договору (аналогічний даній закупівлі), сума договору, контактний телефон уповноваженої особи. У складі тендерної пропозиції надається копія договору (з усіма додатками) та оригінал листа-відгука від контрагента, підписаний керівником контрагента, який підтверджує повне виконання аналогічного договору та належне виконання Учасником обов’язків за аналогічним договором. В листі-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відгуці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має бути зазначено дату та номер договору, предмет договору, суму договору (з урахуванням змін), період надання послуг. Лист-відгук повинен мати вихідний номер та дату складання.</w:t>
            </w:r>
          </w:p>
        </w:tc>
      </w:tr>
    </w:tbl>
    <w:p w:rsidR="00090F56" w:rsidRPr="00374F14" w:rsidRDefault="00090F56" w:rsidP="00090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F56" w:rsidRPr="00EA696D" w:rsidRDefault="00090F56" w:rsidP="00090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A696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Перелік додаткових документів, що має надати учасник у складі тендерної пропозиції</w:t>
      </w:r>
    </w:p>
    <w:p w:rsidR="00090F56" w:rsidRPr="0073796A" w:rsidRDefault="00090F56" w:rsidP="00090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3796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100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77"/>
      </w:tblGrid>
      <w:tr w:rsidR="00090F56" w:rsidTr="00673C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6" w:rsidRDefault="00090F56" w:rsidP="00673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6" w:rsidRPr="00CE2B5B" w:rsidRDefault="00090F56" w:rsidP="00673CF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Довідка, складена у довільній формі, за підписом уповноваженої особи Учасника та завірена печаткою </w:t>
            </w:r>
            <w:r w:rsidRPr="00770C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(за наявності)</w:t>
            </w:r>
            <w:r w:rsidRPr="00CE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яка містить відомості про підприємство: </w:t>
            </w:r>
          </w:p>
          <w:p w:rsidR="00090F56" w:rsidRPr="00CE2B5B" w:rsidRDefault="00090F56" w:rsidP="00673CF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повне та скорочене найменування Учасника, код ЄДРПОУ/ІПН;</w:t>
            </w:r>
          </w:p>
          <w:p w:rsidR="00090F56" w:rsidRPr="00CE2B5B" w:rsidRDefault="00090F56" w:rsidP="00673CF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*реквізити (місце реєстрації, фактичне місцезнаходження, телефон, електронна пошта); </w:t>
            </w:r>
          </w:p>
          <w:p w:rsidR="00090F56" w:rsidRPr="00CE2B5B" w:rsidRDefault="00090F56" w:rsidP="00673CF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*керівництво та уповноважена особа на підпис договору (посада, прізвище, ім’я, по батькові); </w:t>
            </w:r>
          </w:p>
          <w:p w:rsidR="00090F56" w:rsidRPr="00CE2B5B" w:rsidRDefault="00090F56" w:rsidP="00673CF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*інформація про реквізити банківського рахунку, за якими буде здійснюватися оплата за договором (у разі визначення переможцем та укладання договору).</w:t>
            </w:r>
          </w:p>
          <w:p w:rsidR="00090F56" w:rsidRPr="00CE2B5B" w:rsidRDefault="00090F56" w:rsidP="00673CF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*статус платника податку;</w:t>
            </w:r>
          </w:p>
        </w:tc>
      </w:tr>
      <w:tr w:rsidR="00090F56" w:rsidRPr="0023124E" w:rsidTr="00673C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6" w:rsidRDefault="00090F56" w:rsidP="00673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6" w:rsidRPr="00CE2B5B" w:rsidRDefault="00090F56" w:rsidP="00673CF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Довідка, складена у довільній формі, за підписом уповноваженої особи Учасника та завірена печаткою </w:t>
            </w:r>
            <w:r w:rsidRPr="00770C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(за наявності)</w:t>
            </w:r>
            <w:r w:rsidRPr="00CE2B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CE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яка містить інформацію про те, що відомості про Учасника внесена до Єдиного державного реєстру юридичних осіб, фізичних осіб-підприємців та громадських формувань (учасник  має право надавати документи, видані в паперовому вигля</w:t>
            </w:r>
            <w:r w:rsidRPr="00CE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ді, або сформовані в електронній фор</w:t>
            </w:r>
            <w:r w:rsidRPr="00CE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мі (відтворені на папері) відповідно до законодавства).</w:t>
            </w:r>
          </w:p>
          <w:p w:rsidR="00090F56" w:rsidRPr="00CE2B5B" w:rsidRDefault="00090F56" w:rsidP="00673CFA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B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 довідки про присвоєння ідентифікаційного коду (для Учасників - фізичних осіб).</w:t>
            </w:r>
          </w:p>
        </w:tc>
      </w:tr>
      <w:tr w:rsidR="00090F56" w:rsidTr="00673C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6" w:rsidRDefault="00090F56" w:rsidP="00673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6" w:rsidRPr="00CE2B5B" w:rsidRDefault="00090F56" w:rsidP="00673CF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Копію Витягу з реєстру платників податків на додану вартість (для учасників – платників ПДВ).</w:t>
            </w:r>
          </w:p>
          <w:p w:rsidR="00090F56" w:rsidRPr="00CE2B5B" w:rsidRDefault="00090F56" w:rsidP="00673CF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Копію Свідоцтва платника єдиного податку або витяг з Реєстру платників єдиного податку (для учасників – платників єдиного податку).</w:t>
            </w:r>
          </w:p>
          <w:p w:rsidR="00090F56" w:rsidRPr="00CE2B5B" w:rsidRDefault="00090F56" w:rsidP="00673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</w:rPr>
              <w:t xml:space="preserve">У разі якщо учасник не є платником податку на додану вартість або єдиного податку, то у складі пропозиції учасник повинен надати лист з посиланням на положення діючого законодавства України щодо відсутності відповідного свідоцтва (витягу). </w:t>
            </w:r>
          </w:p>
        </w:tc>
      </w:tr>
      <w:tr w:rsidR="00090F56" w:rsidTr="00673C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6" w:rsidRDefault="00090F56" w:rsidP="00673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6" w:rsidRPr="00CE2B5B" w:rsidRDefault="00090F56" w:rsidP="00673CF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Лист-гарантія, за підписом уповноваженої особи Учасника та завірена печаткою</w:t>
            </w:r>
            <w:r w:rsidRPr="00B2752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</w:t>
            </w:r>
            <w:r w:rsidRPr="00CE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5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(за</w:t>
            </w:r>
            <w:r w:rsidRPr="00CE2B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275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наявності)</w:t>
            </w:r>
            <w:r w:rsidRPr="00B275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E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щодо дотримання Учасником в своїй діяльності норм чинного законодавства України, в тому числі: </w:t>
            </w:r>
          </w:p>
          <w:p w:rsidR="00090F56" w:rsidRPr="00CE2B5B" w:rsidRDefault="00090F56" w:rsidP="00673CF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Закону України "Про санкції" від 14.08.2014р. № 1644-VII; </w:t>
            </w:r>
          </w:p>
          <w:p w:rsidR="00090F56" w:rsidRPr="00CE2B5B" w:rsidRDefault="00090F56" w:rsidP="00673CF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 від 06.12.2019р. № 361-ІХ;</w:t>
            </w:r>
          </w:p>
          <w:p w:rsidR="00090F56" w:rsidRPr="00CE2B5B" w:rsidRDefault="00090F56" w:rsidP="00673CF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Указу Президента України від 15 травня 2017 року № 133/2017 «Про рішення Ради національної безпеки і оборони України від 28 квітня 2017 року "Про застосування персональних спеціальних економічних та інших обмежувальних заходів (санкцій)"»; </w:t>
            </w:r>
          </w:p>
          <w:p w:rsidR="00090F56" w:rsidRPr="00CE2B5B" w:rsidRDefault="00090F56" w:rsidP="00673CF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Постанови Кабінету Міністрів від 07.11.2014р. № 595 «Деякі питання фінансування бюджетних установ, здійснення соціальних виплат населенню та надання фінансової підтримки окремим підприємствам і організаціям Донецької та Луганської областей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також інших платежів з рахунків, відкритих в органах Казначейства</w:t>
            </w:r>
            <w:r w:rsidRPr="00CE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90F56" w:rsidRPr="00CE2B5B" w:rsidRDefault="00090F56" w:rsidP="00673CF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Постанови Кабінету Міністрів від 16.12.2015р. № 1035 «Про обмеження поставок окремих товарів (робіт, послуг) з тимчасово окупованої території на іншу територію України та/або з іншої території України на тимчасово окуповану територію».</w:t>
            </w:r>
          </w:p>
        </w:tc>
      </w:tr>
      <w:tr w:rsidR="00090F56" w:rsidTr="00673C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6" w:rsidRDefault="00090F56" w:rsidP="00673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6" w:rsidRPr="00453376" w:rsidRDefault="00090F56" w:rsidP="00673CF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Копії сторінок статуту, де зазначена інформація стосовно переліку та вкладів учасників, статутного капіталу (статутного фонду), фондів.</w:t>
            </w:r>
            <w:r w:rsidRPr="00453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0F56" w:rsidTr="00673C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6" w:rsidRDefault="00090F56" w:rsidP="00673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6" w:rsidRPr="00374F14" w:rsidRDefault="00090F56" w:rsidP="00673C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Сертифікати на відповідність міжнародним стандартам управління якістю ISO 45001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«Системи менеджменту охорони здоров’я та безпеки праці. Вимоги та настанови щодо застосування».</w:t>
            </w:r>
          </w:p>
        </w:tc>
      </w:tr>
    </w:tbl>
    <w:p w:rsidR="00090F56" w:rsidRPr="0073796A" w:rsidRDefault="00090F56" w:rsidP="00090F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0F56" w:rsidRDefault="00090F56" w:rsidP="0009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F56" w:rsidRPr="00910D6E" w:rsidRDefault="00090F56" w:rsidP="00090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090F56" w:rsidRPr="00910D6E" w:rsidRDefault="00090F56" w:rsidP="00090F5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0F56" w:rsidRPr="00C84CAB" w:rsidRDefault="00090F56" w:rsidP="00090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90F56" w:rsidRDefault="00090F56" w:rsidP="00090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90F56" w:rsidRDefault="00090F56" w:rsidP="00090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90F56" w:rsidRDefault="00090F56" w:rsidP="00090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90F56" w:rsidRDefault="00090F56" w:rsidP="00090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90F56" w:rsidRDefault="00090F56" w:rsidP="00090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90F56" w:rsidRDefault="00090F56" w:rsidP="00090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90F56" w:rsidRDefault="00090F56" w:rsidP="00090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90F56" w:rsidRDefault="00090F56" w:rsidP="00090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90F56" w:rsidRDefault="00090F56" w:rsidP="00090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90F56" w:rsidRDefault="00090F56" w:rsidP="00090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90F56" w:rsidRDefault="00090F56" w:rsidP="00090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90F56" w:rsidRDefault="00090F56" w:rsidP="00090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90F56" w:rsidRDefault="00090F56" w:rsidP="00090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90F56" w:rsidRDefault="00090F56" w:rsidP="00090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90F56" w:rsidRDefault="00090F56" w:rsidP="00090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90F56" w:rsidRDefault="00090F56" w:rsidP="00090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90F56" w:rsidRDefault="00090F56" w:rsidP="00090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90F56" w:rsidRDefault="00090F56" w:rsidP="00090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C40C7" w:rsidRDefault="009C40C7">
      <w:bookmarkStart w:id="0" w:name="_GoBack"/>
      <w:bookmarkEnd w:id="0"/>
    </w:p>
    <w:sectPr w:rsidR="009C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44A7"/>
    <w:multiLevelType w:val="hybridMultilevel"/>
    <w:tmpl w:val="9138AC66"/>
    <w:lvl w:ilvl="0" w:tplc="8B2E0C2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78"/>
    <w:rsid w:val="00090F56"/>
    <w:rsid w:val="009C40C7"/>
    <w:rsid w:val="00D8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9EC14-EA8A-4E37-ABCD-BCD9A649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56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Details,Elenco Normale,1 Буллет,AC List 01,1 Рівень,TES_tekst-punktais,List 1 Numbered,First level bullet,Citation List,Table of contents numbered,normal,Resume Title,Paragraph,Number Bullets,Paragraphe de liste PBLH,new"/>
    <w:basedOn w:val="a"/>
    <w:link w:val="a4"/>
    <w:uiPriority w:val="34"/>
    <w:qFormat/>
    <w:rsid w:val="00090F56"/>
    <w:pPr>
      <w:ind w:left="720"/>
      <w:contextualSpacing/>
    </w:pPr>
  </w:style>
  <w:style w:type="character" w:customStyle="1" w:styleId="a4">
    <w:name w:val="Абзац списка Знак"/>
    <w:aliases w:val="Список уровня 2 Знак,Details Знак,Elenco Normale Знак,1 Буллет Знак,AC List 01 Знак,1 Рівень Знак,TES_tekst-punktais Знак,List 1 Numbered Знак,First level bullet Знак,Citation List Знак,Table of contents numbered Знак,normal Знак"/>
    <w:link w:val="a3"/>
    <w:uiPriority w:val="34"/>
    <w:qFormat/>
    <w:locked/>
    <w:rsid w:val="00090F56"/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2024-01-25T11:21:00Z</dcterms:created>
  <dcterms:modified xsi:type="dcterms:W3CDTF">2024-01-25T11:21:00Z</dcterms:modified>
</cp:coreProperties>
</file>