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D0" w:rsidRPr="005E5FF3" w:rsidRDefault="007D26D0" w:rsidP="007D26D0">
      <w:pPr>
        <w:ind w:left="2832" w:firstLine="708"/>
        <w:jc w:val="right"/>
        <w:rPr>
          <w:b/>
          <w:lang w:val="uk-UA"/>
        </w:rPr>
      </w:pPr>
      <w:bookmarkStart w:id="0" w:name="_Hlk508232786"/>
      <w:r w:rsidRPr="005E5FF3">
        <w:rPr>
          <w:b/>
          <w:lang w:val="uk-UA"/>
        </w:rPr>
        <w:t>ДОДАТОК №</w:t>
      </w:r>
      <w:r w:rsidR="00F854BB">
        <w:rPr>
          <w:b/>
          <w:lang w:val="uk-UA"/>
        </w:rPr>
        <w:t>3</w:t>
      </w:r>
    </w:p>
    <w:p w:rsidR="007D26D0" w:rsidRPr="00A932D1" w:rsidRDefault="007D26D0" w:rsidP="007D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16"/>
          <w:szCs w:val="16"/>
          <w:lang w:val="uk-UA"/>
        </w:rPr>
      </w:pPr>
    </w:p>
    <w:p w:rsidR="007D26D0" w:rsidRPr="007D26D0" w:rsidRDefault="007D26D0" w:rsidP="007D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7D26D0">
        <w:rPr>
          <w:b/>
          <w:iCs/>
          <w:lang w:val="uk-UA"/>
        </w:rPr>
        <w:t>ТЕХНІЧНА СПЕЦИФІКАЦІЯ</w:t>
      </w:r>
    </w:p>
    <w:p w:rsidR="007D26D0" w:rsidRPr="007D26D0" w:rsidRDefault="007D26D0" w:rsidP="007D26D0">
      <w:pPr>
        <w:spacing w:line="240" w:lineRule="atLeast"/>
        <w:jc w:val="center"/>
        <w:rPr>
          <w:b/>
          <w:lang w:val="uk-UA"/>
        </w:rPr>
      </w:pPr>
      <w:r w:rsidRPr="007D26D0">
        <w:rPr>
          <w:b/>
          <w:lang w:val="uk-UA"/>
        </w:rPr>
        <w:t xml:space="preserve">Таблиця відповідності технічних та якісних характеристик </w:t>
      </w:r>
    </w:p>
    <w:p w:rsidR="007D26D0" w:rsidRPr="007D26D0" w:rsidRDefault="007D26D0" w:rsidP="007D26D0">
      <w:pPr>
        <w:spacing w:line="240" w:lineRule="atLeast"/>
        <w:jc w:val="center"/>
        <w:rPr>
          <w:b/>
          <w:lang w:val="uk-UA"/>
        </w:rPr>
      </w:pPr>
      <w:r w:rsidRPr="007D26D0">
        <w:rPr>
          <w:b/>
          <w:lang w:val="uk-UA"/>
        </w:rPr>
        <w:t>запропонованих товарів, умовам замовника*</w:t>
      </w:r>
    </w:p>
    <w:p w:rsidR="00DE2C17" w:rsidRDefault="007D26D0" w:rsidP="007D26D0">
      <w:pPr>
        <w:spacing w:line="337" w:lineRule="atLeast"/>
        <w:jc w:val="center"/>
        <w:textAlignment w:val="baseline"/>
        <w:rPr>
          <w:lang w:val="uk-UA"/>
        </w:rPr>
      </w:pPr>
      <w:r w:rsidRPr="007D26D0">
        <w:rPr>
          <w:bdr w:val="none" w:sz="0" w:space="0" w:color="auto" w:frame="1"/>
          <w:lang w:val="uk-UA"/>
        </w:rPr>
        <w:t>Код національного класифікатора України ДК 021-2015 (CPV):</w:t>
      </w:r>
      <w:r w:rsidRPr="007D26D0">
        <w:rPr>
          <w:lang w:val="uk-UA"/>
        </w:rPr>
        <w:t> </w:t>
      </w:r>
    </w:p>
    <w:p w:rsidR="000C76A6" w:rsidRPr="00A932D1" w:rsidRDefault="000C76A6" w:rsidP="007D26D0">
      <w:pPr>
        <w:spacing w:line="337" w:lineRule="atLeast"/>
        <w:jc w:val="center"/>
        <w:textAlignment w:val="baseline"/>
        <w:rPr>
          <w:b/>
          <w:sz w:val="16"/>
          <w:szCs w:val="16"/>
          <w:u w:val="single"/>
          <w:lang w:val="uk-UA"/>
        </w:rPr>
      </w:pPr>
    </w:p>
    <w:p w:rsidR="007D26D0" w:rsidRPr="00776F2A" w:rsidRDefault="00DE2C17" w:rsidP="007D26D0">
      <w:pPr>
        <w:spacing w:line="337" w:lineRule="atLeast"/>
        <w:jc w:val="center"/>
        <w:textAlignment w:val="baseline"/>
        <w:rPr>
          <w:sz w:val="28"/>
          <w:szCs w:val="28"/>
          <w:lang w:val="uk-UA"/>
        </w:rPr>
      </w:pPr>
      <w:r w:rsidRPr="00776F2A">
        <w:rPr>
          <w:b/>
          <w:sz w:val="28"/>
          <w:szCs w:val="28"/>
          <w:u w:val="single"/>
          <w:lang w:val="uk-UA"/>
        </w:rPr>
        <w:t>Фармацевтична продукція - 33600000-6</w:t>
      </w:r>
    </w:p>
    <w:p w:rsidR="0062640E" w:rsidRPr="00776F2A" w:rsidRDefault="0062640E" w:rsidP="004B468F">
      <w:pPr>
        <w:ind w:firstLine="142"/>
        <w:jc w:val="center"/>
        <w:rPr>
          <w:b/>
          <w:lang w:val="uk-UA"/>
        </w:rPr>
      </w:pPr>
      <w:r w:rsidRPr="00776F2A">
        <w:rPr>
          <w:b/>
          <w:color w:val="000000"/>
          <w:lang w:val="uk-UA"/>
        </w:rPr>
        <w:t>Гормональні препарати системної дії, крім статевих гормонів</w:t>
      </w:r>
      <w:r w:rsidRPr="00776F2A">
        <w:rPr>
          <w:b/>
          <w:lang w:val="uk-UA"/>
        </w:rPr>
        <w:t>.</w:t>
      </w:r>
    </w:p>
    <w:p w:rsidR="000C76A6" w:rsidRDefault="000C76A6" w:rsidP="00FB3A62">
      <w:pPr>
        <w:rPr>
          <w:b/>
          <w:lang w:val="uk-UA"/>
        </w:rPr>
      </w:pPr>
    </w:p>
    <w:p w:rsidR="007D26D0" w:rsidRPr="000C76A6" w:rsidRDefault="007D26D0" w:rsidP="000C76A6">
      <w:pPr>
        <w:jc w:val="center"/>
        <w:rPr>
          <w:rFonts w:eastAsia="Times New Roman"/>
          <w:b/>
          <w:color w:val="000000"/>
          <w:lang w:val="uk-UA"/>
        </w:rPr>
      </w:pPr>
      <w:r w:rsidRPr="007D26D0">
        <w:rPr>
          <w:b/>
          <w:lang w:val="uk-UA"/>
        </w:rPr>
        <w:t>Загальні вимоги до предмета закупівлі</w:t>
      </w:r>
    </w:p>
    <w:p w:rsidR="00C6238B" w:rsidRPr="00FB3A62" w:rsidRDefault="00C6238B" w:rsidP="00FB3A62">
      <w:pPr>
        <w:rPr>
          <w:rFonts w:ascii="Calibri" w:eastAsia="Times New Roman" w:hAnsi="Calibri"/>
          <w:b/>
          <w:color w:val="000000"/>
          <w:lang w:val="uk-UA"/>
        </w:rPr>
      </w:pPr>
    </w:p>
    <w:p w:rsidR="007D26D0" w:rsidRDefault="007D26D0" w:rsidP="007D26D0">
      <w:pPr>
        <w:autoSpaceDE w:val="0"/>
        <w:autoSpaceDN w:val="0"/>
        <w:adjustRightInd w:val="0"/>
        <w:ind w:firstLine="709"/>
        <w:jc w:val="both"/>
        <w:rPr>
          <w:lang w:val="uk-UA"/>
        </w:rPr>
      </w:pPr>
      <w:r w:rsidRPr="007D26D0">
        <w:rPr>
          <w:lang w:val="uk-UA"/>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0C76A6" w:rsidRPr="00A83F8E" w:rsidRDefault="000C76A6" w:rsidP="000C76A6">
      <w:pPr>
        <w:ind w:firstLine="708"/>
        <w:jc w:val="both"/>
        <w:rPr>
          <w:rFonts w:eastAsia="Times New Roman"/>
          <w:lang w:val="uk-UA"/>
        </w:rPr>
      </w:pPr>
      <w:r w:rsidRPr="00A83F8E">
        <w:rPr>
          <w:rFonts w:eastAsia="Times New Roman"/>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C76A6" w:rsidRPr="00A83F8E" w:rsidRDefault="000C76A6" w:rsidP="003D764C">
      <w:pPr>
        <w:ind w:firstLine="708"/>
        <w:jc w:val="both"/>
        <w:rPr>
          <w:rFonts w:eastAsia="Times New Roman"/>
          <w:lang w:val="uk-UA"/>
        </w:rPr>
      </w:pPr>
      <w:r w:rsidRPr="00A83F8E">
        <w:rPr>
          <w:rFonts w:eastAsia="Times New Roman"/>
          <w:lang w:val="uk-UA"/>
        </w:rPr>
        <w:t>1) Довідка в довільній формі про наявність сертифікатів якості та реєстраційних посвідчень на товар що пропонується згідно МТВ та надання сертифікатів якості при поставці товару.</w:t>
      </w:r>
    </w:p>
    <w:p w:rsidR="000C76A6" w:rsidRPr="00FC3EF9" w:rsidRDefault="000C76A6" w:rsidP="003D764C">
      <w:pPr>
        <w:ind w:firstLine="708"/>
        <w:jc w:val="both"/>
        <w:rPr>
          <w:rFonts w:eastAsia="Times New Roman"/>
        </w:rPr>
      </w:pPr>
      <w:r w:rsidRPr="00FC3EF9">
        <w:rPr>
          <w:rFonts w:eastAsia="Times New Roman"/>
        </w:rPr>
        <w:t xml:space="preserve">2) </w:t>
      </w:r>
      <w:r w:rsidRPr="00FC3EF9">
        <w:rPr>
          <w:rFonts w:eastAsia="Times New Roman"/>
          <w:color w:val="000000"/>
        </w:rPr>
        <w:t>Довідка в довільній формі про гарантії належного</w:t>
      </w:r>
      <w:r>
        <w:rPr>
          <w:rFonts w:eastAsia="Times New Roman"/>
          <w:color w:val="000000"/>
        </w:rPr>
        <w:t xml:space="preserve"> терміну придатності на товари</w:t>
      </w:r>
      <w:r>
        <w:rPr>
          <w:rFonts w:eastAsia="Times New Roman"/>
          <w:color w:val="000000"/>
          <w:lang w:val="uk-UA"/>
        </w:rPr>
        <w:t>,</w:t>
      </w:r>
      <w:r w:rsidRPr="00FC3EF9">
        <w:rPr>
          <w:rFonts w:eastAsia="Times New Roman"/>
          <w:color w:val="000000"/>
        </w:rPr>
        <w:t xml:space="preserve"> т</w:t>
      </w:r>
      <w:r w:rsidRPr="00FC3EF9">
        <w:rPr>
          <w:rFonts w:eastAsia="Times New Roman"/>
        </w:rPr>
        <w:t xml:space="preserve">ермін придатності товару на момент поставки має становити не менше 80 % від встановленого інструкцією терміну придатності </w:t>
      </w:r>
    </w:p>
    <w:p w:rsidR="000C76A6" w:rsidRPr="00FC3EF9" w:rsidRDefault="000C76A6" w:rsidP="003D764C">
      <w:pPr>
        <w:ind w:firstLine="708"/>
        <w:jc w:val="both"/>
        <w:rPr>
          <w:rFonts w:eastAsia="Times New Roman"/>
          <w:color w:val="000000"/>
        </w:rPr>
      </w:pPr>
      <w:r w:rsidRPr="00FC3EF9">
        <w:rPr>
          <w:rFonts w:eastAsia="Times New Roman"/>
        </w:rPr>
        <w:t>3) К</w:t>
      </w:r>
      <w:r w:rsidRPr="00FC3EF9">
        <w:rPr>
          <w:rFonts w:eastAsia="Times New Roman"/>
          <w:color w:val="000000"/>
        </w:rPr>
        <w:t>опія ліцензії на відповідний вид діяльності (у разі, якщо це не передбачено чинним законодавством лист-пояснення про ненадання відповідного законодавства з зазначенням законодавчих підстав);</w:t>
      </w:r>
    </w:p>
    <w:p w:rsidR="000C76A6" w:rsidRPr="00FC3EF9" w:rsidRDefault="000C76A6" w:rsidP="003D764C">
      <w:pPr>
        <w:ind w:firstLine="708"/>
        <w:jc w:val="both"/>
        <w:rPr>
          <w:rFonts w:eastAsia="Times New Roman"/>
          <w:color w:val="000000"/>
        </w:rPr>
      </w:pPr>
      <w:r w:rsidRPr="00FC3EF9">
        <w:rPr>
          <w:rFonts w:eastAsia="Times New Roman"/>
          <w:color w:val="000000"/>
        </w:rPr>
        <w:t>4) Спроможність учасника поставити товар повинна підтверджуватись документами про якість (сертифікат відповідності, /або декларацію про відповідність, /або сертифікат контролю якості, /або аналітичний паспорт,  /або посвідчення про якість/або інші документи, встановлені діючим законодавством для зазначеного товару (на вибір учасника). Якщо будь-який із документів не може бути наданий з причин його втрати чинності /або зміни форми, назви, тощо /або не передбачений законодавством для такого товару, Учасник надає інший рівнозначний документ або письмове пояснення.</w:t>
      </w:r>
    </w:p>
    <w:p w:rsidR="000C76A6" w:rsidRPr="00FC3EF9" w:rsidRDefault="000C76A6" w:rsidP="003D764C">
      <w:pPr>
        <w:ind w:firstLine="708"/>
        <w:jc w:val="both"/>
        <w:rPr>
          <w:rFonts w:eastAsia="Times New Roman"/>
        </w:rPr>
      </w:pPr>
      <w:r w:rsidRPr="00FC3EF9">
        <w:rPr>
          <w:rFonts w:eastAsia="Times New Roman"/>
        </w:rPr>
        <w:t>5)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C76A6" w:rsidRPr="00FC3EF9" w:rsidRDefault="000C76A6" w:rsidP="003D764C">
      <w:pPr>
        <w:ind w:firstLine="708"/>
        <w:jc w:val="both"/>
        <w:rPr>
          <w:rFonts w:eastAsia="Times New Roman"/>
        </w:rPr>
      </w:pPr>
      <w:r w:rsidRPr="00FC3EF9">
        <w:rPr>
          <w:rFonts w:eastAsia="Times New Roman"/>
        </w:rPr>
        <w:t>6) Форма випуску, дозування препаратів повинні відповідати таким, що вказані в документації.</w:t>
      </w:r>
    </w:p>
    <w:p w:rsidR="00C6238B" w:rsidRPr="000C76A6" w:rsidRDefault="000C76A6" w:rsidP="003D764C">
      <w:pPr>
        <w:ind w:firstLine="708"/>
        <w:jc w:val="both"/>
        <w:rPr>
          <w:rFonts w:eastAsia="Times New Roman"/>
        </w:rPr>
      </w:pPr>
      <w:r w:rsidRPr="00FC3EF9">
        <w:rPr>
          <w:rFonts w:eastAsia="Times New Roman"/>
        </w:rPr>
        <w:t>7) З метою запобігання закупівлі фальсифікатів та отримання гарантій на своєчасне постачання товару у кількості, якості та з термінами пр</w:t>
      </w:r>
      <w:bookmarkStart w:id="1" w:name="_GoBack"/>
      <w:bookmarkEnd w:id="1"/>
      <w:r w:rsidRPr="00FC3EF9">
        <w:rPr>
          <w:rFonts w:eastAsia="Times New Roman"/>
        </w:rPr>
        <w:t>идатності, яких вимагає замовник учасник надає гарантійний лист виробника або представництва, представника, дилера, дистриб'ютора (уповноваженого на це виробником,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w:t>
      </w:r>
    </w:p>
    <w:p w:rsidR="00A37435" w:rsidRDefault="00C6238B" w:rsidP="000C76A6">
      <w:pPr>
        <w:pStyle w:val="11"/>
        <w:shd w:val="clear" w:color="auto" w:fill="FFFFFF"/>
        <w:spacing w:line="276" w:lineRule="auto"/>
        <w:ind w:firstLine="708"/>
        <w:rPr>
          <w:rFonts w:ascii="Times New Roman" w:hAnsi="Times New Roman"/>
          <w:color w:val="000000"/>
          <w:szCs w:val="24"/>
          <w:lang w:val="uk-UA" w:eastAsia="uk-UA"/>
        </w:rPr>
      </w:pPr>
      <w:r w:rsidRPr="00524151">
        <w:rPr>
          <w:rFonts w:ascii="Times New Roman" w:hAnsi="Times New Roman"/>
          <w:color w:val="000000"/>
          <w:szCs w:val="24"/>
          <w:lang w:val="uk-UA" w:eastAsia="uk-UA"/>
        </w:rPr>
        <w:t>Лікарський засіб повинен бути зареєстрований та дозволений до застосування в Україні. Для підтвердження Учасник у складі тендерної про</w:t>
      </w:r>
      <w:r>
        <w:rPr>
          <w:rFonts w:ascii="Times New Roman" w:hAnsi="Times New Roman"/>
          <w:color w:val="000000"/>
          <w:szCs w:val="24"/>
          <w:lang w:val="uk-UA" w:eastAsia="uk-UA"/>
        </w:rPr>
        <w:t>позиції повинен надати документ</w:t>
      </w:r>
      <w:r w:rsidRPr="00524151">
        <w:rPr>
          <w:rFonts w:ascii="Times New Roman" w:hAnsi="Times New Roman"/>
          <w:color w:val="000000"/>
          <w:szCs w:val="24"/>
          <w:lang w:val="uk-UA" w:eastAsia="uk-UA"/>
        </w:rPr>
        <w:t>у довільній формі.</w:t>
      </w:r>
      <w:r w:rsidR="00A37435">
        <w:rPr>
          <w:rFonts w:ascii="Times New Roman" w:hAnsi="Times New Roman"/>
          <w:color w:val="000000"/>
          <w:szCs w:val="24"/>
          <w:lang w:val="uk-UA" w:eastAsia="uk-UA"/>
        </w:rPr>
        <w:t xml:space="preserve"> </w:t>
      </w:r>
    </w:p>
    <w:p w:rsidR="000C76A6" w:rsidRPr="00FE2CB8" w:rsidRDefault="00C6238B" w:rsidP="000C76A6">
      <w:pPr>
        <w:pStyle w:val="11"/>
        <w:shd w:val="clear" w:color="auto" w:fill="FFFFFF"/>
        <w:spacing w:line="276" w:lineRule="auto"/>
        <w:ind w:firstLine="708"/>
        <w:rPr>
          <w:rFonts w:ascii="Times New Roman" w:hAnsi="Times New Roman"/>
          <w:color w:val="000000"/>
          <w:szCs w:val="24"/>
          <w:lang w:val="uk-UA" w:eastAsia="uk-UA"/>
        </w:rPr>
      </w:pPr>
      <w:r w:rsidRPr="00524151">
        <w:rPr>
          <w:rFonts w:ascii="Times New Roman" w:hAnsi="Times New Roman"/>
          <w:color w:val="000000"/>
          <w:szCs w:val="24"/>
          <w:lang w:eastAsia="uk-UA"/>
        </w:rPr>
        <w:t>Лікарський засіб повинен мати інструкцію з застосування. Для підтвердження Учасник повинен надати документ у довільній формі, що гарантує наявність інструкції на використання препарату українською мовою при кожній поставці товару.</w:t>
      </w:r>
      <w:r w:rsidR="00FE2CB8">
        <w:rPr>
          <w:rFonts w:ascii="Times New Roman" w:hAnsi="Times New Roman"/>
          <w:color w:val="000000"/>
          <w:szCs w:val="24"/>
          <w:lang w:val="uk-UA" w:eastAsia="uk-UA"/>
        </w:rPr>
        <w:t xml:space="preserve"> </w:t>
      </w:r>
    </w:p>
    <w:p w:rsidR="00C6238B" w:rsidRPr="003D764C" w:rsidRDefault="00C6238B" w:rsidP="000C76A6">
      <w:pPr>
        <w:pStyle w:val="11"/>
        <w:shd w:val="clear" w:color="auto" w:fill="FFFFFF"/>
        <w:spacing w:line="276" w:lineRule="auto"/>
        <w:ind w:firstLine="708"/>
        <w:rPr>
          <w:rFonts w:ascii="Times New Roman" w:hAnsi="Times New Roman"/>
          <w:color w:val="000000"/>
          <w:szCs w:val="24"/>
          <w:lang w:val="uk-UA" w:eastAsia="uk-UA"/>
        </w:rPr>
      </w:pPr>
      <w:r w:rsidRPr="003D764C">
        <w:rPr>
          <w:rFonts w:ascii="Times New Roman" w:hAnsi="Times New Roman"/>
          <w:lang w:eastAsia="uk-UA"/>
        </w:rPr>
        <w:lastRenderedPageBreak/>
        <w:t>Усі документи, що стосуються лікарського засобу, повинні бути викладені державною (українською) мовою (для документів, викладених іноземною мовою, необхідно, крім іноземного оригіналу, надати належно завірений його переклад українською мовою).</w:t>
      </w:r>
    </w:p>
    <w:p w:rsidR="00C6238B" w:rsidRPr="00A83F8E" w:rsidRDefault="00C6238B" w:rsidP="00C6238B">
      <w:pPr>
        <w:shd w:val="clear" w:color="auto" w:fill="FFFFFF"/>
        <w:jc w:val="both"/>
        <w:rPr>
          <w:b/>
          <w:lang w:val="uk-UA"/>
        </w:rPr>
      </w:pPr>
      <w:r w:rsidRPr="00A83F8E">
        <w:rPr>
          <w:b/>
          <w:lang w:val="uk-UA"/>
        </w:rPr>
        <w:t>Спеціальні вимоги:</w:t>
      </w:r>
    </w:p>
    <w:p w:rsidR="00C6238B" w:rsidRPr="00A83F8E" w:rsidRDefault="00C6238B" w:rsidP="00C6238B">
      <w:pPr>
        <w:shd w:val="clear" w:color="auto" w:fill="FFFFFF"/>
        <w:jc w:val="both"/>
        <w:rPr>
          <w:lang w:val="uk-UA"/>
        </w:rPr>
      </w:pPr>
      <w:r w:rsidRPr="00A83F8E">
        <w:rPr>
          <w:lang w:val="uk-UA"/>
        </w:rPr>
        <w:t>1. Для те</w:t>
      </w:r>
      <w:r w:rsidR="000C76A6" w:rsidRPr="00A83F8E">
        <w:rPr>
          <w:lang w:val="uk-UA"/>
        </w:rPr>
        <w:t>рмолабільних лікарських засобів</w:t>
      </w:r>
      <w:r w:rsidRPr="00A83F8E">
        <w:rPr>
          <w:lang w:val="uk-UA"/>
        </w:rPr>
        <w:t xml:space="preserve"> повинно бути забезпечене суворе дотримання «холодового ланцюга» (засвідчується підготовленим Учасником актом приймання-передавання із зазначенням у ньому умов зберігання товару під час транспортування).</w:t>
      </w:r>
    </w:p>
    <w:bookmarkEnd w:id="0"/>
    <w:p w:rsidR="007C62B2" w:rsidRDefault="007C62B2" w:rsidP="0062640E">
      <w:pPr>
        <w:rPr>
          <w:b/>
          <w:color w:val="000000"/>
          <w:lang w:val="uk-UA"/>
        </w:rPr>
      </w:pPr>
    </w:p>
    <w:p w:rsidR="0062640E" w:rsidRPr="0062640E" w:rsidRDefault="0062640E" w:rsidP="0062640E">
      <w:pPr>
        <w:rPr>
          <w:b/>
          <w:color w:val="000000"/>
          <w:lang w:val="uk-UA"/>
        </w:rPr>
      </w:pPr>
      <w:r w:rsidRPr="0062640E">
        <w:rPr>
          <w:b/>
          <w:color w:val="000000"/>
          <w:lang w:val="uk-UA"/>
        </w:rPr>
        <w:t>Гормональні препарати системної дії, крім статевих гормонів</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521"/>
        <w:gridCol w:w="850"/>
        <w:gridCol w:w="709"/>
        <w:gridCol w:w="1701"/>
      </w:tblGrid>
      <w:tr w:rsidR="004D5E9E" w:rsidRPr="00AF7DF3" w:rsidTr="007C62B2">
        <w:tc>
          <w:tcPr>
            <w:tcW w:w="709" w:type="dxa"/>
            <w:shd w:val="clear" w:color="auto" w:fill="BFBFBF" w:themeFill="background1" w:themeFillShade="BF"/>
            <w:vAlign w:val="center"/>
          </w:tcPr>
          <w:p w:rsidR="004D5E9E" w:rsidRPr="00DE2C17" w:rsidRDefault="004D5E9E" w:rsidP="004D5E9E">
            <w:pPr>
              <w:suppressAutoHyphens/>
              <w:jc w:val="center"/>
              <w:rPr>
                <w:rFonts w:eastAsia="Times New Roman"/>
                <w:b/>
                <w:color w:val="000000" w:themeColor="text1"/>
                <w:lang w:val="uk-UA" w:eastAsia="zh-CN"/>
              </w:rPr>
            </w:pPr>
            <w:r w:rsidRPr="00DE2C17">
              <w:rPr>
                <w:rFonts w:eastAsia="Times New Roman"/>
                <w:b/>
                <w:color w:val="000000" w:themeColor="text1"/>
                <w:lang w:val="uk-UA" w:eastAsia="zh-CN"/>
              </w:rPr>
              <w:t>№ п/п</w:t>
            </w:r>
          </w:p>
        </w:tc>
        <w:tc>
          <w:tcPr>
            <w:tcW w:w="6521" w:type="dxa"/>
            <w:shd w:val="clear" w:color="auto" w:fill="BFBFBF" w:themeFill="background1" w:themeFillShade="BF"/>
            <w:vAlign w:val="center"/>
          </w:tcPr>
          <w:p w:rsidR="004D5E9E" w:rsidRPr="00DE2C17" w:rsidRDefault="004D5E9E" w:rsidP="004D5E9E">
            <w:pPr>
              <w:suppressAutoHyphens/>
              <w:jc w:val="center"/>
              <w:rPr>
                <w:rFonts w:eastAsia="Times New Roman"/>
                <w:b/>
                <w:color w:val="000000" w:themeColor="text1"/>
                <w:lang w:val="uk-UA" w:eastAsia="zh-CN"/>
              </w:rPr>
            </w:pPr>
            <w:r w:rsidRPr="00DE2C17">
              <w:rPr>
                <w:rFonts w:eastAsia="Times New Roman"/>
                <w:b/>
                <w:color w:val="000000" w:themeColor="text1"/>
                <w:lang w:val="uk-UA" w:eastAsia="zh-CN"/>
              </w:rPr>
              <w:t>Технічні характеристики</w:t>
            </w:r>
          </w:p>
        </w:tc>
        <w:tc>
          <w:tcPr>
            <w:tcW w:w="850" w:type="dxa"/>
            <w:shd w:val="clear" w:color="auto" w:fill="BFBFBF" w:themeFill="background1" w:themeFillShade="BF"/>
            <w:vAlign w:val="center"/>
          </w:tcPr>
          <w:p w:rsidR="004D5E9E" w:rsidRPr="00DE2C17" w:rsidRDefault="004D5E9E" w:rsidP="004D5E9E">
            <w:pPr>
              <w:suppressAutoHyphens/>
              <w:jc w:val="center"/>
              <w:rPr>
                <w:rFonts w:eastAsia="Times New Roman"/>
                <w:b/>
                <w:color w:val="000000" w:themeColor="text1"/>
                <w:lang w:val="uk-UA" w:eastAsia="zh-CN"/>
              </w:rPr>
            </w:pPr>
            <w:r w:rsidRPr="00DE2C17">
              <w:rPr>
                <w:rFonts w:eastAsia="Times New Roman"/>
                <w:b/>
                <w:color w:val="000000" w:themeColor="text1"/>
                <w:lang w:val="uk-UA" w:eastAsia="zh-CN"/>
              </w:rPr>
              <w:t>Кіль</w:t>
            </w:r>
            <w:r w:rsidR="007C62B2">
              <w:rPr>
                <w:rFonts w:eastAsia="Times New Roman"/>
                <w:b/>
                <w:color w:val="000000" w:themeColor="text1"/>
                <w:lang w:val="uk-UA" w:eastAsia="zh-CN"/>
              </w:rPr>
              <w:t>-</w:t>
            </w:r>
            <w:r w:rsidRPr="00DE2C17">
              <w:rPr>
                <w:rFonts w:eastAsia="Times New Roman"/>
                <w:b/>
                <w:color w:val="000000" w:themeColor="text1"/>
                <w:lang w:val="uk-UA" w:eastAsia="zh-CN"/>
              </w:rPr>
              <w:t xml:space="preserve">кість </w:t>
            </w:r>
          </w:p>
        </w:tc>
        <w:tc>
          <w:tcPr>
            <w:tcW w:w="709" w:type="dxa"/>
            <w:shd w:val="clear" w:color="auto" w:fill="BFBFBF" w:themeFill="background1" w:themeFillShade="BF"/>
            <w:vAlign w:val="center"/>
          </w:tcPr>
          <w:p w:rsidR="004D5E9E" w:rsidRPr="00DE2C17" w:rsidRDefault="004D5E9E" w:rsidP="004D5E9E">
            <w:pPr>
              <w:jc w:val="center"/>
              <w:rPr>
                <w:b/>
                <w:color w:val="000000" w:themeColor="text1"/>
                <w:lang w:val="uk-UA" w:eastAsia="en-US"/>
              </w:rPr>
            </w:pPr>
            <w:r w:rsidRPr="00DE2C17">
              <w:rPr>
                <w:b/>
                <w:color w:val="000000" w:themeColor="text1"/>
                <w:lang w:val="uk-UA"/>
              </w:rPr>
              <w:t>Од.</w:t>
            </w:r>
            <w:r w:rsidR="00181241">
              <w:rPr>
                <w:b/>
                <w:color w:val="000000" w:themeColor="text1"/>
                <w:lang w:val="uk-UA"/>
              </w:rPr>
              <w:t xml:space="preserve"> </w:t>
            </w:r>
            <w:r w:rsidRPr="00DE2C17">
              <w:rPr>
                <w:b/>
                <w:color w:val="000000" w:themeColor="text1"/>
                <w:lang w:val="uk-UA"/>
              </w:rPr>
              <w:t>вим</w:t>
            </w:r>
          </w:p>
        </w:tc>
        <w:tc>
          <w:tcPr>
            <w:tcW w:w="1701" w:type="dxa"/>
            <w:shd w:val="clear" w:color="auto" w:fill="BFBFBF" w:themeFill="background1" w:themeFillShade="BF"/>
          </w:tcPr>
          <w:p w:rsidR="004D5E9E" w:rsidRPr="00DE2C17" w:rsidRDefault="004D5E9E" w:rsidP="00181241">
            <w:pPr>
              <w:ind w:left="-108"/>
              <w:jc w:val="center"/>
              <w:rPr>
                <w:b/>
                <w:color w:val="FFFFFF" w:themeColor="background1"/>
                <w:lang w:val="uk-UA" w:eastAsia="en-US"/>
              </w:rPr>
            </w:pPr>
            <w:r w:rsidRPr="00DE2C17">
              <w:rPr>
                <w:rFonts w:eastAsia="Times New Roman"/>
                <w:b/>
                <w:color w:val="000000" w:themeColor="text1"/>
                <w:lang w:val="uk-UA" w:eastAsia="en-US"/>
              </w:rPr>
              <w:t>Відповідність (заповнюється учасником), так/ні</w:t>
            </w:r>
          </w:p>
        </w:tc>
      </w:tr>
      <w:tr w:rsidR="0062640E" w:rsidRPr="00AF7DF3" w:rsidTr="007C62B2">
        <w:tc>
          <w:tcPr>
            <w:tcW w:w="709" w:type="dxa"/>
          </w:tcPr>
          <w:p w:rsidR="0062640E" w:rsidRPr="00AF7DF3" w:rsidRDefault="0062640E" w:rsidP="0062640E">
            <w:pPr>
              <w:rPr>
                <w:b/>
                <w:sz w:val="28"/>
                <w:szCs w:val="28"/>
                <w:lang w:val="uk-UA"/>
              </w:rPr>
            </w:pPr>
            <w:r>
              <w:rPr>
                <w:b/>
                <w:sz w:val="28"/>
                <w:szCs w:val="28"/>
                <w:lang w:val="uk-UA"/>
              </w:rPr>
              <w:t>1.</w:t>
            </w:r>
          </w:p>
        </w:tc>
        <w:tc>
          <w:tcPr>
            <w:tcW w:w="6521" w:type="dxa"/>
            <w:vAlign w:val="bottom"/>
          </w:tcPr>
          <w:p w:rsidR="0062640E" w:rsidRPr="0089299C" w:rsidRDefault="0062640E" w:rsidP="00181241">
            <w:pPr>
              <w:rPr>
                <w:rFonts w:eastAsia="Times New Roman"/>
              </w:rPr>
            </w:pPr>
            <w:r w:rsidRPr="00181241">
              <w:rPr>
                <w:b/>
                <w:lang w:val="uk-UA"/>
              </w:rPr>
              <w:t>Метилергометрин (</w:t>
            </w:r>
            <w:r w:rsidRPr="00181241">
              <w:rPr>
                <w:b/>
              </w:rPr>
              <w:t>Methylergometrine</w:t>
            </w:r>
            <w:r w:rsidRPr="00181241">
              <w:rPr>
                <w:b/>
                <w:lang w:val="uk-UA"/>
              </w:rPr>
              <w:t xml:space="preserve">) </w:t>
            </w:r>
            <w:r w:rsidRPr="00181241">
              <w:rPr>
                <w:b/>
              </w:rPr>
              <w:t>д/ін. 0.2 мг/мл по 1 мл №50 (5х10) в амп.</w:t>
            </w:r>
            <w:r w:rsidRPr="0089299C">
              <w:rPr>
                <w:lang w:val="uk-UA"/>
              </w:rPr>
              <w:br/>
              <w:t>Склад</w:t>
            </w:r>
            <w:r w:rsidR="00181241">
              <w:rPr>
                <w:lang w:val="uk-UA"/>
              </w:rPr>
              <w:t xml:space="preserve"> </w:t>
            </w:r>
            <w:r w:rsidRPr="0089299C">
              <w:rPr>
                <w:rFonts w:eastAsia="Times New Roman"/>
                <w:i/>
                <w:iCs/>
              </w:rPr>
              <w:t>діюча речовина:</w:t>
            </w:r>
            <w:r w:rsidRPr="0089299C">
              <w:rPr>
                <w:rFonts w:eastAsia="Times New Roman"/>
              </w:rPr>
              <w:t> метилергометрин;</w:t>
            </w:r>
          </w:p>
          <w:p w:rsidR="0062640E" w:rsidRPr="0089299C" w:rsidRDefault="0062640E" w:rsidP="00181241">
            <w:pPr>
              <w:rPr>
                <w:rFonts w:eastAsia="Times New Roman"/>
              </w:rPr>
            </w:pPr>
            <w:r w:rsidRPr="0089299C">
              <w:rPr>
                <w:rFonts w:eastAsia="Times New Roman"/>
              </w:rPr>
              <w:t>1 мл розчину містить метилергометрину малеату 0,2 мг;</w:t>
            </w:r>
          </w:p>
          <w:p w:rsidR="0062640E" w:rsidRPr="008339B4" w:rsidRDefault="0062640E" w:rsidP="00181241">
            <w:pPr>
              <w:rPr>
                <w:rFonts w:eastAsia="Times New Roman"/>
                <w:lang w:val="uk-UA"/>
              </w:rPr>
            </w:pPr>
            <w:r w:rsidRPr="0089299C">
              <w:rPr>
                <w:rFonts w:eastAsia="Times New Roman"/>
                <w:i/>
                <w:iCs/>
              </w:rPr>
              <w:t>допоміжні речовини: </w:t>
            </w:r>
            <w:r w:rsidRPr="0089299C">
              <w:rPr>
                <w:rFonts w:eastAsia="Times New Roman"/>
              </w:rPr>
              <w:t xml:space="preserve">кислота малеїнова, гліцин, натрію хлорид, </w:t>
            </w:r>
            <w:r>
              <w:rPr>
                <w:rFonts w:eastAsia="Times New Roman"/>
              </w:rPr>
              <w:t>тіосечовина, вода для ін’єкцій.</w:t>
            </w:r>
          </w:p>
        </w:tc>
        <w:tc>
          <w:tcPr>
            <w:tcW w:w="850" w:type="dxa"/>
          </w:tcPr>
          <w:p w:rsidR="0062640E" w:rsidRPr="00AF7DF3" w:rsidRDefault="0062640E" w:rsidP="0062640E">
            <w:pPr>
              <w:rPr>
                <w:b/>
                <w:sz w:val="28"/>
                <w:szCs w:val="28"/>
                <w:lang w:val="uk-UA"/>
              </w:rPr>
            </w:pPr>
            <w:r>
              <w:rPr>
                <w:b/>
                <w:sz w:val="28"/>
                <w:szCs w:val="28"/>
                <w:lang w:val="uk-UA"/>
              </w:rPr>
              <w:t>5</w:t>
            </w:r>
          </w:p>
        </w:tc>
        <w:tc>
          <w:tcPr>
            <w:tcW w:w="709" w:type="dxa"/>
          </w:tcPr>
          <w:p w:rsidR="0062640E" w:rsidRPr="00AF7DF3" w:rsidRDefault="0062640E" w:rsidP="0062640E">
            <w:pPr>
              <w:rPr>
                <w:b/>
                <w:sz w:val="28"/>
                <w:szCs w:val="28"/>
                <w:lang w:val="uk-UA"/>
              </w:rPr>
            </w:pPr>
            <w:r>
              <w:rPr>
                <w:b/>
                <w:sz w:val="28"/>
                <w:szCs w:val="28"/>
                <w:lang w:val="uk-UA"/>
              </w:rPr>
              <w:t>уп</w:t>
            </w:r>
          </w:p>
        </w:tc>
        <w:tc>
          <w:tcPr>
            <w:tcW w:w="1701" w:type="dxa"/>
          </w:tcPr>
          <w:p w:rsidR="0062640E" w:rsidRPr="00AF7DF3" w:rsidRDefault="0062640E" w:rsidP="0062640E">
            <w:pPr>
              <w:rPr>
                <w:b/>
                <w:sz w:val="28"/>
                <w:szCs w:val="28"/>
                <w:lang w:val="uk-UA"/>
              </w:rPr>
            </w:pPr>
          </w:p>
        </w:tc>
      </w:tr>
    </w:tbl>
    <w:p w:rsidR="004D5E9E" w:rsidRDefault="004D5E9E" w:rsidP="007D2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eastAsia="Times New Roman" w:hAnsi="Courier New" w:cs="Courier New"/>
          <w:sz w:val="20"/>
          <w:szCs w:val="20"/>
          <w:lang w:val="uk-UA" w:eastAsia="zh-CN"/>
        </w:rPr>
      </w:pPr>
    </w:p>
    <w:p w:rsidR="000C76A6" w:rsidRPr="000C76A6" w:rsidRDefault="000C76A6" w:rsidP="000C76A6">
      <w:pPr>
        <w:widowControl w:val="0"/>
        <w:suppressAutoHyphens/>
        <w:autoSpaceDN w:val="0"/>
        <w:jc w:val="both"/>
        <w:textAlignment w:val="baseline"/>
        <w:rPr>
          <w:rFonts w:eastAsia="Times New Roman"/>
          <w:i/>
          <w:color w:val="000000"/>
        </w:rPr>
      </w:pPr>
      <w:r>
        <w:rPr>
          <w:rFonts w:eastAsia="Times New Roman"/>
          <w:b/>
          <w:color w:val="000000"/>
          <w:lang w:val="uk-UA"/>
        </w:rPr>
        <w:t>*</w:t>
      </w:r>
      <w:r w:rsidRPr="000C76A6">
        <w:rPr>
          <w:rFonts w:eastAsia="Times New Roman"/>
          <w:i/>
          <w:color w:val="000000"/>
          <w:lang w:val="uk-UA"/>
        </w:rPr>
        <w:t>у</w:t>
      </w:r>
      <w:r w:rsidRPr="000C76A6">
        <w:rPr>
          <w:rFonts w:eastAsia="Times New Roman"/>
          <w:i/>
          <w:color w:val="000000"/>
        </w:rPr>
        <w:t xml:space="preserve">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0C76A6" w:rsidRPr="000C76A6" w:rsidRDefault="000C76A6" w:rsidP="000C76A6">
      <w:pPr>
        <w:widowControl w:val="0"/>
        <w:suppressAutoHyphens/>
        <w:autoSpaceDN w:val="0"/>
        <w:jc w:val="both"/>
        <w:textAlignment w:val="baseline"/>
        <w:rPr>
          <w:rFonts w:eastAsia="Times New Roman"/>
          <w:color w:val="000000"/>
        </w:rPr>
      </w:pPr>
    </w:p>
    <w:p w:rsidR="000C76A6" w:rsidRPr="000C76A6" w:rsidRDefault="000C76A6" w:rsidP="003D764C">
      <w:pPr>
        <w:widowControl w:val="0"/>
        <w:suppressAutoHyphens/>
        <w:autoSpaceDN w:val="0"/>
        <w:ind w:firstLine="708"/>
        <w:jc w:val="both"/>
        <w:textAlignment w:val="baseline"/>
        <w:rPr>
          <w:rFonts w:eastAsia="Times New Roman"/>
          <w:color w:val="000000"/>
        </w:rPr>
      </w:pPr>
      <w:r w:rsidRPr="000C76A6">
        <w:rPr>
          <w:rFonts w:eastAsia="Times New Roman"/>
          <w:color w:val="000000"/>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0C76A6" w:rsidRPr="000C76A6" w:rsidRDefault="000C76A6" w:rsidP="003D764C">
      <w:pPr>
        <w:widowControl w:val="0"/>
        <w:suppressAutoHyphens/>
        <w:autoSpaceDN w:val="0"/>
        <w:ind w:firstLine="708"/>
        <w:jc w:val="both"/>
        <w:textAlignment w:val="baseline"/>
        <w:rPr>
          <w:rFonts w:eastAsia="Times New Roman"/>
          <w:color w:val="000000"/>
        </w:rPr>
      </w:pPr>
      <w:r w:rsidRPr="000C76A6">
        <w:rPr>
          <w:rFonts w:eastAsia="Times New Roman"/>
          <w:color w:val="000000"/>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rsidR="000C76A6" w:rsidRPr="00C53E72" w:rsidRDefault="000C76A6" w:rsidP="003D764C">
      <w:pPr>
        <w:widowControl w:val="0"/>
        <w:suppressAutoHyphens/>
        <w:autoSpaceDN w:val="0"/>
        <w:ind w:firstLine="708"/>
        <w:jc w:val="both"/>
        <w:textAlignment w:val="baseline"/>
        <w:rPr>
          <w:rFonts w:eastAsia="Times New Roman"/>
          <w:color w:val="000000"/>
          <w:lang w:val="uk-UA"/>
        </w:rPr>
      </w:pPr>
      <w:r w:rsidRPr="000C76A6">
        <w:rPr>
          <w:rFonts w:eastAsia="Times New Roman"/>
          <w:color w:val="000000"/>
        </w:rPr>
        <w:t>Невідповідність даних зазначених учасником з наданими документами є підставою для відхилення тендерної пропозиції.</w:t>
      </w:r>
      <w:r w:rsidR="00C53E72">
        <w:rPr>
          <w:rFonts w:eastAsia="Times New Roman"/>
          <w:color w:val="000000"/>
          <w:lang w:val="uk-UA"/>
        </w:rPr>
        <w:t xml:space="preserve"> </w:t>
      </w:r>
    </w:p>
    <w:p w:rsidR="00ED3E38" w:rsidRPr="00ED3E38" w:rsidRDefault="00ED3E38" w:rsidP="003D764C">
      <w:pPr>
        <w:widowControl w:val="0"/>
        <w:suppressAutoHyphens/>
        <w:autoSpaceDN w:val="0"/>
        <w:ind w:firstLine="708"/>
        <w:jc w:val="both"/>
        <w:textAlignment w:val="baseline"/>
        <w:rPr>
          <w:rFonts w:eastAsia="Times New Roman"/>
          <w:color w:val="000000"/>
          <w:lang w:val="uk-UA"/>
        </w:rPr>
      </w:pPr>
    </w:p>
    <w:sectPr w:rsidR="00ED3E38" w:rsidRPr="00ED3E38" w:rsidSect="007C62B2">
      <w:footerReference w:type="default" r:id="rId8"/>
      <w:pgSz w:w="11906" w:h="16838"/>
      <w:pgMar w:top="567" w:right="709" w:bottom="567" w:left="1134" w:header="284"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00" w:rsidRDefault="003A7300" w:rsidP="00240FEF">
      <w:r>
        <w:separator/>
      </w:r>
    </w:p>
  </w:endnote>
  <w:endnote w:type="continuationSeparator" w:id="1">
    <w:p w:rsidR="003A7300" w:rsidRDefault="003A7300" w:rsidP="00240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84516"/>
      <w:docPartObj>
        <w:docPartGallery w:val="Page Numbers (Bottom of Page)"/>
        <w:docPartUnique/>
      </w:docPartObj>
    </w:sdtPr>
    <w:sdtContent>
      <w:p w:rsidR="00F168FA" w:rsidRDefault="00272435" w:rsidP="00BE0748">
        <w:pPr>
          <w:pStyle w:val="a9"/>
          <w:jc w:val="right"/>
        </w:pPr>
        <w:fldSimple w:instr=" PAGE   \* MERGEFORMAT ">
          <w:r w:rsidR="004B468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00" w:rsidRDefault="003A7300" w:rsidP="00240FEF">
      <w:r>
        <w:separator/>
      </w:r>
    </w:p>
  </w:footnote>
  <w:footnote w:type="continuationSeparator" w:id="1">
    <w:p w:rsidR="003A7300" w:rsidRDefault="003A7300" w:rsidP="00240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5B6"/>
    <w:multiLevelType w:val="hybridMultilevel"/>
    <w:tmpl w:val="88244710"/>
    <w:lvl w:ilvl="0" w:tplc="5008CCF6">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675FF5"/>
    <w:multiLevelType w:val="hybridMultilevel"/>
    <w:tmpl w:val="63CC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8773F"/>
    <w:multiLevelType w:val="hybridMultilevel"/>
    <w:tmpl w:val="DD5800D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D26D0"/>
    <w:rsid w:val="00010BF8"/>
    <w:rsid w:val="000213B8"/>
    <w:rsid w:val="000530C8"/>
    <w:rsid w:val="00066D7A"/>
    <w:rsid w:val="0006736D"/>
    <w:rsid w:val="000976A8"/>
    <w:rsid w:val="000B3FBC"/>
    <w:rsid w:val="000B707E"/>
    <w:rsid w:val="000C76A6"/>
    <w:rsid w:val="000D2D98"/>
    <w:rsid w:val="000D7EE6"/>
    <w:rsid w:val="000E2540"/>
    <w:rsid w:val="000F5908"/>
    <w:rsid w:val="000F6AA4"/>
    <w:rsid w:val="001217D0"/>
    <w:rsid w:val="00122AD2"/>
    <w:rsid w:val="001250C3"/>
    <w:rsid w:val="00127884"/>
    <w:rsid w:val="00145414"/>
    <w:rsid w:val="0014771C"/>
    <w:rsid w:val="0015098E"/>
    <w:rsid w:val="00151385"/>
    <w:rsid w:val="00181241"/>
    <w:rsid w:val="00187FE7"/>
    <w:rsid w:val="001A17E9"/>
    <w:rsid w:val="001A3960"/>
    <w:rsid w:val="001A4BEB"/>
    <w:rsid w:val="001B00FC"/>
    <w:rsid w:val="001C38BF"/>
    <w:rsid w:val="00235A74"/>
    <w:rsid w:val="00240FEF"/>
    <w:rsid w:val="00272435"/>
    <w:rsid w:val="002A0070"/>
    <w:rsid w:val="002A2CF7"/>
    <w:rsid w:val="002A383A"/>
    <w:rsid w:val="002A404C"/>
    <w:rsid w:val="002A5006"/>
    <w:rsid w:val="002A7F40"/>
    <w:rsid w:val="002C199E"/>
    <w:rsid w:val="002C69FF"/>
    <w:rsid w:val="003104EE"/>
    <w:rsid w:val="0032184F"/>
    <w:rsid w:val="00330CDE"/>
    <w:rsid w:val="003314D5"/>
    <w:rsid w:val="0033285E"/>
    <w:rsid w:val="00337F78"/>
    <w:rsid w:val="00361141"/>
    <w:rsid w:val="0036179D"/>
    <w:rsid w:val="00371A87"/>
    <w:rsid w:val="003808DE"/>
    <w:rsid w:val="00386113"/>
    <w:rsid w:val="003A7300"/>
    <w:rsid w:val="003B3A6F"/>
    <w:rsid w:val="003C1D6A"/>
    <w:rsid w:val="003D2A8A"/>
    <w:rsid w:val="003D764C"/>
    <w:rsid w:val="003E1654"/>
    <w:rsid w:val="003E4191"/>
    <w:rsid w:val="00426903"/>
    <w:rsid w:val="00447C33"/>
    <w:rsid w:val="004B468F"/>
    <w:rsid w:val="004D48C8"/>
    <w:rsid w:val="004D5E9E"/>
    <w:rsid w:val="005064DC"/>
    <w:rsid w:val="00514AE5"/>
    <w:rsid w:val="005174FD"/>
    <w:rsid w:val="005222CB"/>
    <w:rsid w:val="005227E4"/>
    <w:rsid w:val="0054488C"/>
    <w:rsid w:val="00567D25"/>
    <w:rsid w:val="005C2EC6"/>
    <w:rsid w:val="005D397D"/>
    <w:rsid w:val="005F59E5"/>
    <w:rsid w:val="00602E24"/>
    <w:rsid w:val="00605E66"/>
    <w:rsid w:val="0061452A"/>
    <w:rsid w:val="00617D03"/>
    <w:rsid w:val="00622275"/>
    <w:rsid w:val="0062640E"/>
    <w:rsid w:val="00632366"/>
    <w:rsid w:val="00633BAA"/>
    <w:rsid w:val="006508D9"/>
    <w:rsid w:val="00650C11"/>
    <w:rsid w:val="00656C70"/>
    <w:rsid w:val="00673607"/>
    <w:rsid w:val="006A1116"/>
    <w:rsid w:val="006A652D"/>
    <w:rsid w:val="006B07D2"/>
    <w:rsid w:val="006B4C66"/>
    <w:rsid w:val="006C3B26"/>
    <w:rsid w:val="006D0580"/>
    <w:rsid w:val="006D6FEC"/>
    <w:rsid w:val="006D7709"/>
    <w:rsid w:val="006E3275"/>
    <w:rsid w:val="00701E97"/>
    <w:rsid w:val="00705FFC"/>
    <w:rsid w:val="00715A2F"/>
    <w:rsid w:val="0072100E"/>
    <w:rsid w:val="00725D51"/>
    <w:rsid w:val="00742DF6"/>
    <w:rsid w:val="00776F2A"/>
    <w:rsid w:val="00780FD1"/>
    <w:rsid w:val="00793E9C"/>
    <w:rsid w:val="007A1A43"/>
    <w:rsid w:val="007A212E"/>
    <w:rsid w:val="007A3CEF"/>
    <w:rsid w:val="007B36B7"/>
    <w:rsid w:val="007C4213"/>
    <w:rsid w:val="007C62B2"/>
    <w:rsid w:val="007D26D0"/>
    <w:rsid w:val="007E1EFC"/>
    <w:rsid w:val="007F53ED"/>
    <w:rsid w:val="00803758"/>
    <w:rsid w:val="008113BA"/>
    <w:rsid w:val="00816119"/>
    <w:rsid w:val="008215EB"/>
    <w:rsid w:val="00825EE4"/>
    <w:rsid w:val="00835608"/>
    <w:rsid w:val="008504D5"/>
    <w:rsid w:val="0085683D"/>
    <w:rsid w:val="00870908"/>
    <w:rsid w:val="008762FF"/>
    <w:rsid w:val="00886B2F"/>
    <w:rsid w:val="008B1E50"/>
    <w:rsid w:val="008C5056"/>
    <w:rsid w:val="008D5BB1"/>
    <w:rsid w:val="008F02CA"/>
    <w:rsid w:val="008F4571"/>
    <w:rsid w:val="009121A2"/>
    <w:rsid w:val="00934BF5"/>
    <w:rsid w:val="00936F84"/>
    <w:rsid w:val="0094317E"/>
    <w:rsid w:val="00962813"/>
    <w:rsid w:val="00982005"/>
    <w:rsid w:val="00983FD4"/>
    <w:rsid w:val="009A0F0B"/>
    <w:rsid w:val="009B7A91"/>
    <w:rsid w:val="009C7D19"/>
    <w:rsid w:val="009E1048"/>
    <w:rsid w:val="00A31D6E"/>
    <w:rsid w:val="00A33236"/>
    <w:rsid w:val="00A35F63"/>
    <w:rsid w:val="00A37435"/>
    <w:rsid w:val="00A46454"/>
    <w:rsid w:val="00A64DBB"/>
    <w:rsid w:val="00A67CA6"/>
    <w:rsid w:val="00A743F6"/>
    <w:rsid w:val="00A83F8E"/>
    <w:rsid w:val="00A87201"/>
    <w:rsid w:val="00A91158"/>
    <w:rsid w:val="00A932D1"/>
    <w:rsid w:val="00AA23C5"/>
    <w:rsid w:val="00AB0F73"/>
    <w:rsid w:val="00AB6A07"/>
    <w:rsid w:val="00AD6784"/>
    <w:rsid w:val="00AE2A50"/>
    <w:rsid w:val="00AE3F27"/>
    <w:rsid w:val="00B02CB7"/>
    <w:rsid w:val="00B31229"/>
    <w:rsid w:val="00B3484F"/>
    <w:rsid w:val="00B76F21"/>
    <w:rsid w:val="00B90E03"/>
    <w:rsid w:val="00B91C6B"/>
    <w:rsid w:val="00BB6BCF"/>
    <w:rsid w:val="00BD6495"/>
    <w:rsid w:val="00BE0748"/>
    <w:rsid w:val="00BE3A48"/>
    <w:rsid w:val="00C11787"/>
    <w:rsid w:val="00C13E4E"/>
    <w:rsid w:val="00C155D7"/>
    <w:rsid w:val="00C15E3F"/>
    <w:rsid w:val="00C211E2"/>
    <w:rsid w:val="00C254C6"/>
    <w:rsid w:val="00C31141"/>
    <w:rsid w:val="00C32C65"/>
    <w:rsid w:val="00C337BB"/>
    <w:rsid w:val="00C408DD"/>
    <w:rsid w:val="00C44E75"/>
    <w:rsid w:val="00C44F3F"/>
    <w:rsid w:val="00C47FBE"/>
    <w:rsid w:val="00C53E72"/>
    <w:rsid w:val="00C61156"/>
    <w:rsid w:val="00C6238B"/>
    <w:rsid w:val="00C80D4B"/>
    <w:rsid w:val="00C97E88"/>
    <w:rsid w:val="00CA19F7"/>
    <w:rsid w:val="00CA6461"/>
    <w:rsid w:val="00CB3ACC"/>
    <w:rsid w:val="00CE0504"/>
    <w:rsid w:val="00CE102F"/>
    <w:rsid w:val="00CE51C2"/>
    <w:rsid w:val="00D03313"/>
    <w:rsid w:val="00D1007A"/>
    <w:rsid w:val="00D1683D"/>
    <w:rsid w:val="00D27652"/>
    <w:rsid w:val="00D346E8"/>
    <w:rsid w:val="00D63860"/>
    <w:rsid w:val="00D84AB6"/>
    <w:rsid w:val="00DC26AB"/>
    <w:rsid w:val="00DC46BB"/>
    <w:rsid w:val="00DD277A"/>
    <w:rsid w:val="00DE2C17"/>
    <w:rsid w:val="00DF53B4"/>
    <w:rsid w:val="00E07209"/>
    <w:rsid w:val="00E0749A"/>
    <w:rsid w:val="00E16CCB"/>
    <w:rsid w:val="00E3592A"/>
    <w:rsid w:val="00E646B6"/>
    <w:rsid w:val="00E7370A"/>
    <w:rsid w:val="00EB742C"/>
    <w:rsid w:val="00EC2008"/>
    <w:rsid w:val="00ED3E38"/>
    <w:rsid w:val="00ED6965"/>
    <w:rsid w:val="00EF484C"/>
    <w:rsid w:val="00F034AE"/>
    <w:rsid w:val="00F03C7B"/>
    <w:rsid w:val="00F168FA"/>
    <w:rsid w:val="00F25730"/>
    <w:rsid w:val="00F27DC7"/>
    <w:rsid w:val="00F6006A"/>
    <w:rsid w:val="00F66256"/>
    <w:rsid w:val="00F73EA1"/>
    <w:rsid w:val="00F854BB"/>
    <w:rsid w:val="00F9128C"/>
    <w:rsid w:val="00F9420B"/>
    <w:rsid w:val="00FA6CBA"/>
    <w:rsid w:val="00FB3A62"/>
    <w:rsid w:val="00FC7226"/>
    <w:rsid w:val="00FE2CB8"/>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D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0720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13E4E"/>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9"/>
    <w:qFormat/>
    <w:rsid w:val="00E07209"/>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7D26D0"/>
  </w:style>
  <w:style w:type="character" w:customStyle="1" w:styleId="20">
    <w:name w:val="Заголовок 2 Знак"/>
    <w:basedOn w:val="a0"/>
    <w:link w:val="2"/>
    <w:uiPriority w:val="9"/>
    <w:rsid w:val="00C13E4E"/>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C13E4E"/>
    <w:rPr>
      <w:rFonts w:cs="Times New Roman"/>
    </w:rPr>
  </w:style>
  <w:style w:type="paragraph" w:styleId="a3">
    <w:name w:val="List Paragraph"/>
    <w:basedOn w:val="a"/>
    <w:uiPriority w:val="99"/>
    <w:qFormat/>
    <w:rsid w:val="00C13E4E"/>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E07209"/>
    <w:pPr>
      <w:spacing w:before="100" w:beforeAutospacing="1" w:after="100" w:afterAutospacing="1"/>
    </w:pPr>
    <w:rPr>
      <w:rFonts w:eastAsia="Times New Roman"/>
    </w:rPr>
  </w:style>
  <w:style w:type="character" w:styleId="a5">
    <w:name w:val="Emphasis"/>
    <w:basedOn w:val="a0"/>
    <w:uiPriority w:val="20"/>
    <w:qFormat/>
    <w:rsid w:val="00E07209"/>
    <w:rPr>
      <w:rFonts w:cs="Times New Roman"/>
      <w:i/>
      <w:iCs/>
    </w:rPr>
  </w:style>
  <w:style w:type="character" w:customStyle="1" w:styleId="10">
    <w:name w:val="Заголовок 1 Знак"/>
    <w:basedOn w:val="a0"/>
    <w:link w:val="1"/>
    <w:uiPriority w:val="99"/>
    <w:rsid w:val="00E07209"/>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E07209"/>
    <w:rPr>
      <w:rFonts w:ascii="Cambria" w:eastAsia="Times New Roman" w:hAnsi="Cambria" w:cs="Times New Roman"/>
      <w:b/>
      <w:bCs/>
      <w:i/>
      <w:iCs/>
      <w:color w:val="4F81BD"/>
    </w:rPr>
  </w:style>
  <w:style w:type="character" w:customStyle="1" w:styleId="match">
    <w:name w:val="match"/>
    <w:basedOn w:val="a0"/>
    <w:uiPriority w:val="99"/>
    <w:rsid w:val="00E07209"/>
    <w:rPr>
      <w:rFonts w:cs="Times New Roman"/>
    </w:rPr>
  </w:style>
  <w:style w:type="character" w:styleId="a6">
    <w:name w:val="Strong"/>
    <w:basedOn w:val="a0"/>
    <w:uiPriority w:val="99"/>
    <w:qFormat/>
    <w:rsid w:val="008D5BB1"/>
    <w:rPr>
      <w:rFonts w:cs="Times New Roman"/>
      <w:b/>
      <w:bCs/>
    </w:rPr>
  </w:style>
  <w:style w:type="paragraph" w:styleId="a7">
    <w:name w:val="header"/>
    <w:basedOn w:val="a"/>
    <w:link w:val="a8"/>
    <w:uiPriority w:val="99"/>
    <w:semiHidden/>
    <w:unhideWhenUsed/>
    <w:rsid w:val="00240FEF"/>
    <w:pPr>
      <w:tabs>
        <w:tab w:val="center" w:pos="4677"/>
        <w:tab w:val="right" w:pos="9355"/>
      </w:tabs>
    </w:pPr>
  </w:style>
  <w:style w:type="character" w:customStyle="1" w:styleId="a8">
    <w:name w:val="Верхний колонтитул Знак"/>
    <w:basedOn w:val="a0"/>
    <w:link w:val="a7"/>
    <w:uiPriority w:val="99"/>
    <w:semiHidden/>
    <w:rsid w:val="00240FEF"/>
    <w:rPr>
      <w:rFonts w:ascii="Times New Roman" w:eastAsia="Calibri" w:hAnsi="Times New Roman" w:cs="Times New Roman"/>
      <w:sz w:val="24"/>
      <w:szCs w:val="24"/>
      <w:lang w:eastAsia="ru-RU"/>
    </w:rPr>
  </w:style>
  <w:style w:type="paragraph" w:styleId="a9">
    <w:name w:val="footer"/>
    <w:basedOn w:val="a"/>
    <w:link w:val="aa"/>
    <w:uiPriority w:val="99"/>
    <w:unhideWhenUsed/>
    <w:rsid w:val="00240FEF"/>
    <w:pPr>
      <w:tabs>
        <w:tab w:val="center" w:pos="4677"/>
        <w:tab w:val="right" w:pos="9355"/>
      </w:tabs>
    </w:pPr>
  </w:style>
  <w:style w:type="character" w:customStyle="1" w:styleId="aa">
    <w:name w:val="Нижний колонтитул Знак"/>
    <w:basedOn w:val="a0"/>
    <w:link w:val="a9"/>
    <w:uiPriority w:val="99"/>
    <w:rsid w:val="00240FEF"/>
    <w:rPr>
      <w:rFonts w:ascii="Times New Roman" w:eastAsia="Calibri" w:hAnsi="Times New Roman" w:cs="Times New Roman"/>
      <w:sz w:val="24"/>
      <w:szCs w:val="24"/>
      <w:lang w:eastAsia="ru-RU"/>
    </w:rPr>
  </w:style>
  <w:style w:type="paragraph" w:styleId="ab">
    <w:name w:val="No Spacing"/>
    <w:uiPriority w:val="1"/>
    <w:qFormat/>
    <w:rsid w:val="0032184F"/>
    <w:pPr>
      <w:spacing w:after="0" w:line="240" w:lineRule="auto"/>
    </w:pPr>
    <w:rPr>
      <w:rFonts w:ascii="Calibri" w:eastAsia="Calibri" w:hAnsi="Calibri" w:cs="Times New Roman"/>
    </w:rPr>
  </w:style>
  <w:style w:type="character" w:styleId="ac">
    <w:name w:val="Hyperlink"/>
    <w:basedOn w:val="a0"/>
    <w:uiPriority w:val="99"/>
    <w:semiHidden/>
    <w:rsid w:val="009B7A91"/>
    <w:rPr>
      <w:rFonts w:cs="Times New Roman"/>
      <w:color w:val="0000FF"/>
      <w:u w:val="single"/>
    </w:rPr>
  </w:style>
  <w:style w:type="table" w:styleId="ad">
    <w:name w:val="Table Grid"/>
    <w:basedOn w:val="a1"/>
    <w:uiPriority w:val="59"/>
    <w:rsid w:val="009B7A91"/>
    <w:pPr>
      <w:spacing w:after="0" w:line="240" w:lineRule="auto"/>
    </w:pPr>
    <w:rPr>
      <w:rFonts w:ascii="Calibri" w:eastAsia="Calibri"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link w:val="ae"/>
    <w:rsid w:val="00C6238B"/>
    <w:pPr>
      <w:suppressAutoHyphens/>
      <w:spacing w:after="160" w:line="259" w:lineRule="auto"/>
    </w:pPr>
    <w:rPr>
      <w:rFonts w:ascii="Calibri" w:eastAsia="Calibri" w:hAnsi="Calibri" w:cs="Times New Roman"/>
      <w:sz w:val="24"/>
      <w:lang w:eastAsia="zh-CN"/>
    </w:rPr>
  </w:style>
  <w:style w:type="character" w:customStyle="1" w:styleId="ae">
    <w:name w:val="Без интервала Знак"/>
    <w:link w:val="11"/>
    <w:locked/>
    <w:rsid w:val="00C6238B"/>
    <w:rPr>
      <w:rFonts w:ascii="Calibri" w:eastAsia="Calibri" w:hAnsi="Calibri"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340744148">
      <w:bodyDiv w:val="1"/>
      <w:marLeft w:val="0"/>
      <w:marRight w:val="0"/>
      <w:marTop w:val="0"/>
      <w:marBottom w:val="0"/>
      <w:divBdr>
        <w:top w:val="none" w:sz="0" w:space="0" w:color="auto"/>
        <w:left w:val="none" w:sz="0" w:space="0" w:color="auto"/>
        <w:bottom w:val="none" w:sz="0" w:space="0" w:color="auto"/>
        <w:right w:val="none" w:sz="0" w:space="0" w:color="auto"/>
      </w:divBdr>
    </w:div>
    <w:div w:id="1219124961">
      <w:bodyDiv w:val="1"/>
      <w:marLeft w:val="0"/>
      <w:marRight w:val="0"/>
      <w:marTop w:val="0"/>
      <w:marBottom w:val="0"/>
      <w:divBdr>
        <w:top w:val="none" w:sz="0" w:space="0" w:color="auto"/>
        <w:left w:val="none" w:sz="0" w:space="0" w:color="auto"/>
        <w:bottom w:val="none" w:sz="0" w:space="0" w:color="auto"/>
        <w:right w:val="none" w:sz="0" w:space="0" w:color="auto"/>
      </w:divBdr>
    </w:div>
    <w:div w:id="1498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E592-97BD-4C16-A10F-1020B9CB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Zver</cp:lastModifiedBy>
  <cp:revision>77</cp:revision>
  <cp:lastPrinted>2020-01-21T07:40:00Z</cp:lastPrinted>
  <dcterms:created xsi:type="dcterms:W3CDTF">2020-03-30T09:46:00Z</dcterms:created>
  <dcterms:modified xsi:type="dcterms:W3CDTF">2022-08-22T08:52:00Z</dcterms:modified>
</cp:coreProperties>
</file>