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Default="0087501C" w:rsidP="004F21F9">
      <w:pPr>
        <w:widowControl w:val="0"/>
        <w:suppressAutoHyphens/>
        <w:autoSpaceDE w:val="0"/>
        <w:jc w:val="both"/>
        <w:rPr>
          <w:color w:val="000000"/>
          <w:sz w:val="23"/>
          <w:szCs w:val="23"/>
          <w:lang w:val="uk-UA"/>
        </w:rPr>
      </w:pPr>
      <w:r w:rsidRPr="004351CB">
        <w:rPr>
          <w:color w:val="000000"/>
          <w:sz w:val="23"/>
          <w:szCs w:val="23"/>
        </w:rPr>
        <w:t xml:space="preserve">1.1. Постачальник </w:t>
      </w:r>
      <w:proofErr w:type="spellStart"/>
      <w:r w:rsidRPr="004351CB">
        <w:rPr>
          <w:color w:val="000000"/>
          <w:sz w:val="23"/>
          <w:szCs w:val="23"/>
        </w:rPr>
        <w:t>зобов’язується</w:t>
      </w:r>
      <w:proofErr w:type="spellEnd"/>
      <w:r w:rsidRPr="004351CB">
        <w:rPr>
          <w:color w:val="000000"/>
          <w:sz w:val="23"/>
          <w:szCs w:val="23"/>
        </w:rPr>
        <w:t xml:space="preserve"> </w:t>
      </w:r>
      <w:proofErr w:type="spellStart"/>
      <w:r w:rsidRPr="004351CB">
        <w:rPr>
          <w:color w:val="000000"/>
          <w:sz w:val="23"/>
          <w:szCs w:val="23"/>
        </w:rPr>
        <w:t>поставити</w:t>
      </w:r>
      <w:proofErr w:type="spellEnd"/>
      <w:r w:rsidRPr="004351CB">
        <w:rPr>
          <w:color w:val="000000"/>
          <w:sz w:val="23"/>
          <w:szCs w:val="23"/>
        </w:rPr>
        <w:t xml:space="preserve"> </w:t>
      </w:r>
      <w:proofErr w:type="spellStart"/>
      <w:r w:rsidRPr="004351CB">
        <w:rPr>
          <w:color w:val="000000"/>
          <w:sz w:val="23"/>
          <w:szCs w:val="23"/>
        </w:rPr>
        <w:t>Замовникові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 xml:space="preserve">, </w:t>
      </w:r>
      <w:proofErr w:type="spellStart"/>
      <w:r w:rsidRPr="004351CB">
        <w:rPr>
          <w:color w:val="000000"/>
          <w:sz w:val="23"/>
          <w:szCs w:val="23"/>
        </w:rPr>
        <w:t>зазначені</w:t>
      </w:r>
      <w:proofErr w:type="spellEnd"/>
      <w:r w:rsidRPr="004351CB">
        <w:rPr>
          <w:color w:val="000000"/>
          <w:sz w:val="23"/>
          <w:szCs w:val="23"/>
        </w:rPr>
        <w:t xml:space="preserve"> в </w:t>
      </w:r>
      <w:proofErr w:type="spellStart"/>
      <w:r w:rsidRPr="004351CB">
        <w:rPr>
          <w:color w:val="000000"/>
          <w:sz w:val="23"/>
          <w:szCs w:val="23"/>
        </w:rPr>
        <w:t>специфікації</w:t>
      </w:r>
      <w:proofErr w:type="spellEnd"/>
      <w:r w:rsidRPr="004351CB">
        <w:rPr>
          <w:color w:val="000000"/>
          <w:sz w:val="23"/>
          <w:szCs w:val="23"/>
        </w:rPr>
        <w:t xml:space="preserve">, яка </w:t>
      </w:r>
      <w:proofErr w:type="spellStart"/>
      <w:r w:rsidRPr="004351CB">
        <w:rPr>
          <w:color w:val="000000"/>
          <w:sz w:val="23"/>
          <w:szCs w:val="23"/>
        </w:rPr>
        <w:t>є</w:t>
      </w:r>
      <w:proofErr w:type="spellEnd"/>
      <w:r w:rsidRPr="004351CB">
        <w:rPr>
          <w:color w:val="000000"/>
          <w:sz w:val="23"/>
          <w:szCs w:val="23"/>
        </w:rPr>
        <w:t xml:space="preserve"> </w:t>
      </w:r>
      <w:proofErr w:type="spellStart"/>
      <w:r w:rsidRPr="004351CB">
        <w:rPr>
          <w:color w:val="000000"/>
          <w:sz w:val="23"/>
          <w:szCs w:val="23"/>
        </w:rPr>
        <w:t>невід’ємною</w:t>
      </w:r>
      <w:proofErr w:type="spellEnd"/>
      <w:r w:rsidRPr="004351CB">
        <w:rPr>
          <w:color w:val="000000"/>
          <w:sz w:val="23"/>
          <w:szCs w:val="23"/>
        </w:rPr>
        <w:t xml:space="preserve"> </w:t>
      </w:r>
      <w:proofErr w:type="spellStart"/>
      <w:r w:rsidRPr="004351CB">
        <w:rPr>
          <w:color w:val="000000"/>
          <w:sz w:val="23"/>
          <w:szCs w:val="23"/>
        </w:rPr>
        <w:t>частиною</w:t>
      </w:r>
      <w:proofErr w:type="spellEnd"/>
      <w:r w:rsidRPr="004351CB">
        <w:rPr>
          <w:color w:val="000000"/>
          <w:sz w:val="23"/>
          <w:szCs w:val="23"/>
        </w:rPr>
        <w:t xml:space="preserve"> </w:t>
      </w:r>
      <w:proofErr w:type="spellStart"/>
      <w:r w:rsidRPr="004351CB">
        <w:rPr>
          <w:color w:val="000000"/>
          <w:sz w:val="23"/>
          <w:szCs w:val="23"/>
        </w:rPr>
        <w:t>цього</w:t>
      </w:r>
      <w:proofErr w:type="spellEnd"/>
      <w:r w:rsidRPr="004351CB">
        <w:rPr>
          <w:color w:val="000000"/>
          <w:sz w:val="23"/>
          <w:szCs w:val="23"/>
        </w:rPr>
        <w:t xml:space="preserve"> Договору (</w:t>
      </w:r>
      <w:proofErr w:type="spellStart"/>
      <w:r w:rsidRPr="004351CB">
        <w:rPr>
          <w:color w:val="000000"/>
          <w:sz w:val="23"/>
          <w:szCs w:val="23"/>
        </w:rPr>
        <w:t>надалі</w:t>
      </w:r>
      <w:proofErr w:type="spellEnd"/>
      <w:r w:rsidRPr="004351CB">
        <w:rPr>
          <w:color w:val="000000"/>
          <w:sz w:val="23"/>
          <w:szCs w:val="23"/>
        </w:rPr>
        <w:t xml:space="preserve"> Товар), а </w:t>
      </w:r>
      <w:proofErr w:type="spellStart"/>
      <w:r w:rsidRPr="004351CB">
        <w:rPr>
          <w:color w:val="000000"/>
          <w:sz w:val="23"/>
          <w:szCs w:val="23"/>
        </w:rPr>
        <w:t>Замовник</w:t>
      </w:r>
      <w:proofErr w:type="spellEnd"/>
      <w:r w:rsidRPr="004351CB">
        <w:rPr>
          <w:color w:val="000000"/>
          <w:sz w:val="23"/>
          <w:szCs w:val="23"/>
        </w:rPr>
        <w:t xml:space="preserve"> – </w:t>
      </w:r>
      <w:proofErr w:type="spellStart"/>
      <w:r w:rsidRPr="004351CB">
        <w:rPr>
          <w:color w:val="000000"/>
          <w:sz w:val="23"/>
          <w:szCs w:val="23"/>
        </w:rPr>
        <w:t>прийняти</w:t>
      </w:r>
      <w:proofErr w:type="spellEnd"/>
      <w:r w:rsidRPr="004351CB">
        <w:rPr>
          <w:color w:val="000000"/>
          <w:sz w:val="23"/>
          <w:szCs w:val="23"/>
        </w:rPr>
        <w:t xml:space="preserve"> </w:t>
      </w:r>
      <w:proofErr w:type="spellStart"/>
      <w:r w:rsidRPr="004351CB">
        <w:rPr>
          <w:color w:val="000000"/>
          <w:sz w:val="23"/>
          <w:szCs w:val="23"/>
        </w:rPr>
        <w:t>і</w:t>
      </w:r>
      <w:proofErr w:type="spellEnd"/>
      <w:r w:rsidRPr="004351CB">
        <w:rPr>
          <w:color w:val="000000"/>
          <w:sz w:val="23"/>
          <w:szCs w:val="23"/>
        </w:rPr>
        <w:t xml:space="preserve"> </w:t>
      </w:r>
      <w:proofErr w:type="spellStart"/>
      <w:r w:rsidRPr="004351CB">
        <w:rPr>
          <w:color w:val="000000"/>
          <w:sz w:val="23"/>
          <w:szCs w:val="23"/>
        </w:rPr>
        <w:t>оплатити</w:t>
      </w:r>
      <w:proofErr w:type="spellEnd"/>
      <w:r w:rsidRPr="004351CB">
        <w:rPr>
          <w:color w:val="000000"/>
          <w:sz w:val="23"/>
          <w:szCs w:val="23"/>
        </w:rPr>
        <w:t xml:space="preserve"> </w:t>
      </w:r>
      <w:proofErr w:type="spellStart"/>
      <w:r w:rsidRPr="004351CB">
        <w:rPr>
          <w:color w:val="000000"/>
          <w:sz w:val="23"/>
          <w:szCs w:val="23"/>
        </w:rPr>
        <w:t>такі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w:t>
      </w:r>
    </w:p>
    <w:p w:rsidR="0087501C" w:rsidRPr="007D06B1" w:rsidRDefault="0087501C" w:rsidP="004F21F9">
      <w:pPr>
        <w:widowControl w:val="0"/>
        <w:suppressAutoHyphens/>
        <w:autoSpaceDE w:val="0"/>
        <w:jc w:val="both"/>
        <w:rPr>
          <w:rFonts w:eastAsia="BatangChe"/>
          <w:b/>
          <w:sz w:val="23"/>
          <w:szCs w:val="23"/>
          <w:lang w:val="uk-UA"/>
        </w:rPr>
      </w:pPr>
      <w:r w:rsidRPr="007D06B1">
        <w:rPr>
          <w:color w:val="000000"/>
          <w:sz w:val="23"/>
          <w:szCs w:val="23"/>
          <w:lang w:val="uk-UA"/>
        </w:rPr>
        <w:t xml:space="preserve">1.2. Найменування товарів - </w:t>
      </w:r>
      <w:proofErr w:type="spellStart"/>
      <w:r w:rsidR="00171315" w:rsidRPr="00171315">
        <w:rPr>
          <w:rFonts w:eastAsia="BatangChe"/>
          <w:b/>
          <w:sz w:val="23"/>
          <w:szCs w:val="23"/>
          <w:lang w:val="uk-UA"/>
        </w:rPr>
        <w:t>ДК</w:t>
      </w:r>
      <w:proofErr w:type="spellEnd"/>
      <w:r w:rsidR="00171315" w:rsidRPr="00171315">
        <w:rPr>
          <w:rFonts w:eastAsia="BatangChe"/>
          <w:b/>
          <w:sz w:val="23"/>
          <w:szCs w:val="23"/>
          <w:lang w:val="uk-UA"/>
        </w:rPr>
        <w:t xml:space="preserve"> 021:2015: 33120000-7 - Системи реєстрації медичної інформації та дослідне обладнання (Тест для діагностики сифілісу, №25, Комбінований тест на маркери гепатиту В (</w:t>
      </w:r>
      <w:proofErr w:type="spellStart"/>
      <w:r w:rsidR="00171315" w:rsidRPr="00171315">
        <w:rPr>
          <w:rFonts w:eastAsia="BatangChe"/>
          <w:b/>
          <w:sz w:val="23"/>
          <w:szCs w:val="23"/>
          <w:lang w:val="uk-UA"/>
        </w:rPr>
        <w:t>HBsAg</w:t>
      </w:r>
      <w:proofErr w:type="spellEnd"/>
      <w:r w:rsidR="00171315" w:rsidRPr="00171315">
        <w:rPr>
          <w:rFonts w:eastAsia="BatangChe"/>
          <w:b/>
          <w:sz w:val="23"/>
          <w:szCs w:val="23"/>
          <w:lang w:val="uk-UA"/>
        </w:rPr>
        <w:t xml:space="preserve">, </w:t>
      </w:r>
      <w:proofErr w:type="spellStart"/>
      <w:r w:rsidR="00171315" w:rsidRPr="00171315">
        <w:rPr>
          <w:rFonts w:eastAsia="BatangChe"/>
          <w:b/>
          <w:sz w:val="23"/>
          <w:szCs w:val="23"/>
          <w:lang w:val="uk-UA"/>
        </w:rPr>
        <w:t>HBsAb</w:t>
      </w:r>
      <w:proofErr w:type="spellEnd"/>
      <w:r w:rsidR="00171315" w:rsidRPr="00171315">
        <w:rPr>
          <w:rFonts w:eastAsia="BatangChe"/>
          <w:b/>
          <w:sz w:val="23"/>
          <w:szCs w:val="23"/>
          <w:lang w:val="uk-UA"/>
        </w:rPr>
        <w:t xml:space="preserve">, </w:t>
      </w:r>
      <w:proofErr w:type="spellStart"/>
      <w:r w:rsidR="00171315" w:rsidRPr="00171315">
        <w:rPr>
          <w:rFonts w:eastAsia="BatangChe"/>
          <w:b/>
          <w:sz w:val="23"/>
          <w:szCs w:val="23"/>
          <w:lang w:val="uk-UA"/>
        </w:rPr>
        <w:t>HBeAg</w:t>
      </w:r>
      <w:proofErr w:type="spellEnd"/>
      <w:r w:rsidR="00171315" w:rsidRPr="00171315">
        <w:rPr>
          <w:rFonts w:eastAsia="BatangChe"/>
          <w:b/>
          <w:sz w:val="23"/>
          <w:szCs w:val="23"/>
          <w:lang w:val="uk-UA"/>
        </w:rPr>
        <w:t xml:space="preserve">, </w:t>
      </w:r>
      <w:proofErr w:type="spellStart"/>
      <w:r w:rsidR="00171315" w:rsidRPr="00171315">
        <w:rPr>
          <w:rFonts w:eastAsia="BatangChe"/>
          <w:b/>
          <w:sz w:val="23"/>
          <w:szCs w:val="23"/>
          <w:lang w:val="uk-UA"/>
        </w:rPr>
        <w:t>HBeAb</w:t>
      </w:r>
      <w:proofErr w:type="spellEnd"/>
      <w:r w:rsidR="00171315" w:rsidRPr="00171315">
        <w:rPr>
          <w:rFonts w:eastAsia="BatangChe"/>
          <w:b/>
          <w:sz w:val="23"/>
          <w:szCs w:val="23"/>
          <w:lang w:val="uk-UA"/>
        </w:rPr>
        <w:t xml:space="preserve">, </w:t>
      </w:r>
      <w:proofErr w:type="spellStart"/>
      <w:r w:rsidR="00171315" w:rsidRPr="00171315">
        <w:rPr>
          <w:rFonts w:eastAsia="BatangChe"/>
          <w:b/>
          <w:sz w:val="23"/>
          <w:szCs w:val="23"/>
          <w:lang w:val="uk-UA"/>
        </w:rPr>
        <w:t>HBcAb</w:t>
      </w:r>
      <w:proofErr w:type="spellEnd"/>
      <w:r w:rsidR="00171315" w:rsidRPr="00171315">
        <w:rPr>
          <w:rFonts w:eastAsia="BatangChe"/>
          <w:b/>
          <w:sz w:val="23"/>
          <w:szCs w:val="23"/>
          <w:lang w:val="uk-UA"/>
        </w:rPr>
        <w:t>), W040-P, Тест для визначення вірусного гепатиту C, №50)</w:t>
      </w:r>
      <w:r w:rsidR="001B4F0B" w:rsidRPr="007D06B1">
        <w:rPr>
          <w:rFonts w:eastAsia="BatangChe"/>
          <w:b/>
          <w:sz w:val="23"/>
          <w:szCs w:val="23"/>
          <w:lang w:val="uk-UA"/>
        </w:rPr>
        <w:t>.</w:t>
      </w:r>
    </w:p>
    <w:p w:rsidR="00BC1405" w:rsidRPr="00577013" w:rsidRDefault="00BC1405" w:rsidP="00577013">
      <w:pPr>
        <w:jc w:val="both"/>
        <w:rPr>
          <w:bCs/>
          <w:color w:val="000000"/>
          <w:sz w:val="23"/>
          <w:szCs w:val="23"/>
        </w:rPr>
      </w:pPr>
      <w:r w:rsidRPr="00577013">
        <w:rPr>
          <w:bCs/>
          <w:color w:val="000000"/>
          <w:sz w:val="23"/>
          <w:szCs w:val="23"/>
        </w:rPr>
        <w:t>1.3. Кількість товарів зазначені в Специфікації (Додаток 1).</w:t>
      </w:r>
    </w:p>
    <w:p w:rsidR="00BC1405" w:rsidRPr="00577013" w:rsidRDefault="00BC1405" w:rsidP="00577013">
      <w:pPr>
        <w:jc w:val="both"/>
        <w:rPr>
          <w:bCs/>
          <w:color w:val="000000"/>
          <w:sz w:val="23"/>
          <w:szCs w:val="23"/>
        </w:rPr>
      </w:pPr>
      <w:r w:rsidRPr="00577013">
        <w:rPr>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577013">
        <w:rPr>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CF662E" w:rsidRDefault="00CF662E" w:rsidP="0087501C">
      <w:pPr>
        <w:jc w:val="center"/>
        <w:outlineLvl w:val="2"/>
        <w:rPr>
          <w:b/>
          <w:bCs/>
          <w:color w:val="000000"/>
          <w:sz w:val="23"/>
          <w:szCs w:val="23"/>
          <w:lang w:val="uk-UA"/>
        </w:rPr>
      </w:pPr>
    </w:p>
    <w:p w:rsidR="00BC1405" w:rsidRPr="002847DE" w:rsidRDefault="00BC1405" w:rsidP="0087501C">
      <w:pPr>
        <w:jc w:val="center"/>
        <w:outlineLvl w:val="2"/>
        <w:rPr>
          <w:b/>
          <w:bCs/>
          <w:color w:val="000000"/>
          <w:sz w:val="23"/>
          <w:szCs w:val="23"/>
        </w:rPr>
      </w:pPr>
      <w:r w:rsidRPr="002847DE">
        <w:rPr>
          <w:b/>
          <w:bCs/>
          <w:color w:val="000000"/>
          <w:sz w:val="23"/>
          <w:szCs w:val="23"/>
        </w:rPr>
        <w:lastRenderedPageBreak/>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2847DE">
        <w:rPr>
          <w:bCs/>
          <w:color w:val="000000"/>
          <w:sz w:val="23"/>
          <w:szCs w:val="23"/>
        </w:rPr>
        <w:lastRenderedPageBreak/>
        <w:t>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707C03">
        <w:rPr>
          <w:color w:val="000000"/>
          <w:sz w:val="23"/>
          <w:szCs w:val="23"/>
        </w:rPr>
        <w:lastRenderedPageBreak/>
        <w:t xml:space="preserve">№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w:t>
      </w:r>
      <w:r w:rsidRPr="00C93228">
        <w:rPr>
          <w:color w:val="000000"/>
          <w:sz w:val="23"/>
          <w:szCs w:val="23"/>
        </w:rPr>
        <w:lastRenderedPageBreak/>
        <w:t>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A84E4E" w:rsidRPr="00A84E4E">
              <w:rPr>
                <w:rFonts w:ascii="Times New Roman" w:hAnsi="Times New Roman" w:cs="Times New Roman"/>
                <w:i/>
                <w:sz w:val="23"/>
                <w:szCs w:val="23"/>
              </w:rPr>
              <w:t>ДК</w:t>
            </w:r>
            <w:proofErr w:type="spellEnd"/>
            <w:r w:rsidR="00A84E4E" w:rsidRPr="00A84E4E">
              <w:rPr>
                <w:rFonts w:ascii="Times New Roman" w:hAnsi="Times New Roman" w:cs="Times New Roman"/>
                <w:i/>
                <w:sz w:val="23"/>
                <w:szCs w:val="23"/>
              </w:rPr>
              <w:t xml:space="preserve"> 021:2015: 33120000-7 - Системи реєстрації медичної інформації та дослідне обладнання (Тест для діагностики сифілісу, №25, Комбінований тест на маркери гепатиту В (</w:t>
            </w:r>
            <w:proofErr w:type="spellStart"/>
            <w:r w:rsidR="00A84E4E" w:rsidRPr="00A84E4E">
              <w:rPr>
                <w:rFonts w:ascii="Times New Roman" w:hAnsi="Times New Roman" w:cs="Times New Roman"/>
                <w:i/>
                <w:sz w:val="23"/>
                <w:szCs w:val="23"/>
              </w:rPr>
              <w:t>HBsAg</w:t>
            </w:r>
            <w:proofErr w:type="spellEnd"/>
            <w:r w:rsidR="00A84E4E" w:rsidRPr="00A84E4E">
              <w:rPr>
                <w:rFonts w:ascii="Times New Roman" w:hAnsi="Times New Roman" w:cs="Times New Roman"/>
                <w:i/>
                <w:sz w:val="23"/>
                <w:szCs w:val="23"/>
              </w:rPr>
              <w:t xml:space="preserve">, </w:t>
            </w:r>
            <w:proofErr w:type="spellStart"/>
            <w:r w:rsidR="00A84E4E" w:rsidRPr="00A84E4E">
              <w:rPr>
                <w:rFonts w:ascii="Times New Roman" w:hAnsi="Times New Roman" w:cs="Times New Roman"/>
                <w:i/>
                <w:sz w:val="23"/>
                <w:szCs w:val="23"/>
              </w:rPr>
              <w:t>HBsAb</w:t>
            </w:r>
            <w:proofErr w:type="spellEnd"/>
            <w:r w:rsidR="00A84E4E" w:rsidRPr="00A84E4E">
              <w:rPr>
                <w:rFonts w:ascii="Times New Roman" w:hAnsi="Times New Roman" w:cs="Times New Roman"/>
                <w:i/>
                <w:sz w:val="23"/>
                <w:szCs w:val="23"/>
              </w:rPr>
              <w:t xml:space="preserve">, </w:t>
            </w:r>
            <w:proofErr w:type="spellStart"/>
            <w:r w:rsidR="00A84E4E" w:rsidRPr="00A84E4E">
              <w:rPr>
                <w:rFonts w:ascii="Times New Roman" w:hAnsi="Times New Roman" w:cs="Times New Roman"/>
                <w:i/>
                <w:sz w:val="23"/>
                <w:szCs w:val="23"/>
              </w:rPr>
              <w:t>HBeAg</w:t>
            </w:r>
            <w:proofErr w:type="spellEnd"/>
            <w:r w:rsidR="00A84E4E" w:rsidRPr="00A84E4E">
              <w:rPr>
                <w:rFonts w:ascii="Times New Roman" w:hAnsi="Times New Roman" w:cs="Times New Roman"/>
                <w:i/>
                <w:sz w:val="23"/>
                <w:szCs w:val="23"/>
              </w:rPr>
              <w:t xml:space="preserve">, </w:t>
            </w:r>
            <w:proofErr w:type="spellStart"/>
            <w:r w:rsidR="00A84E4E" w:rsidRPr="00A84E4E">
              <w:rPr>
                <w:rFonts w:ascii="Times New Roman" w:hAnsi="Times New Roman" w:cs="Times New Roman"/>
                <w:i/>
                <w:sz w:val="23"/>
                <w:szCs w:val="23"/>
              </w:rPr>
              <w:t>HBeAb</w:t>
            </w:r>
            <w:proofErr w:type="spellEnd"/>
            <w:r w:rsidR="00A84E4E" w:rsidRPr="00A84E4E">
              <w:rPr>
                <w:rFonts w:ascii="Times New Roman" w:hAnsi="Times New Roman" w:cs="Times New Roman"/>
                <w:i/>
                <w:sz w:val="23"/>
                <w:szCs w:val="23"/>
              </w:rPr>
              <w:t xml:space="preserve">, </w:t>
            </w:r>
            <w:proofErr w:type="spellStart"/>
            <w:r w:rsidR="00A84E4E" w:rsidRPr="00A84E4E">
              <w:rPr>
                <w:rFonts w:ascii="Times New Roman" w:hAnsi="Times New Roman" w:cs="Times New Roman"/>
                <w:i/>
                <w:sz w:val="23"/>
                <w:szCs w:val="23"/>
              </w:rPr>
              <w:t>HBcAb</w:t>
            </w:r>
            <w:proofErr w:type="spellEnd"/>
            <w:r w:rsidR="00A84E4E" w:rsidRPr="00A84E4E">
              <w:rPr>
                <w:rFonts w:ascii="Times New Roman" w:hAnsi="Times New Roman" w:cs="Times New Roman"/>
                <w:i/>
                <w:sz w:val="23"/>
                <w:szCs w:val="23"/>
              </w:rPr>
              <w:t>), W040-P, Тест для визначення вірусного гепатиту C, №50)</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4624"/>
              <w:gridCol w:w="1167"/>
              <w:gridCol w:w="1232"/>
              <w:gridCol w:w="765"/>
              <w:gridCol w:w="764"/>
              <w:gridCol w:w="838"/>
            </w:tblGrid>
            <w:tr w:rsidR="007901AA" w:rsidRPr="00C328CD" w:rsidTr="007901AA">
              <w:trPr>
                <w:trHeight w:val="1106"/>
                <w:jc w:val="center"/>
              </w:trPr>
              <w:tc>
                <w:tcPr>
                  <w:tcW w:w="350" w:type="pct"/>
                  <w:shd w:val="clear" w:color="auto" w:fill="auto"/>
                  <w:vAlign w:val="center"/>
                  <w:hideMark/>
                </w:tcPr>
                <w:p w:rsidR="007901AA" w:rsidRDefault="007901AA" w:rsidP="00912787">
                  <w:pPr>
                    <w:suppressAutoHyphens/>
                    <w:jc w:val="center"/>
                    <w:rPr>
                      <w:b/>
                      <w:sz w:val="23"/>
                      <w:szCs w:val="23"/>
                      <w:lang w:val="uk-UA"/>
                    </w:rPr>
                  </w:pPr>
                  <w:r w:rsidRPr="00C328CD">
                    <w:rPr>
                      <w:b/>
                      <w:sz w:val="23"/>
                      <w:szCs w:val="23"/>
                      <w:lang w:val="uk-UA"/>
                    </w:rPr>
                    <w:t>№ п/п</w:t>
                  </w:r>
                </w:p>
                <w:p w:rsidR="007901AA" w:rsidRPr="00C328CD" w:rsidRDefault="007901AA" w:rsidP="00912787">
                  <w:pPr>
                    <w:suppressAutoHyphens/>
                    <w:jc w:val="center"/>
                    <w:rPr>
                      <w:b/>
                      <w:sz w:val="23"/>
                      <w:szCs w:val="23"/>
                      <w:lang w:val="uk-UA"/>
                    </w:rPr>
                  </w:pPr>
                </w:p>
              </w:tc>
              <w:tc>
                <w:tcPr>
                  <w:tcW w:w="229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r w:rsidRPr="00C328CD">
                    <w:rPr>
                      <w:b/>
                      <w:sz w:val="23"/>
                      <w:szCs w:val="23"/>
                      <w:lang w:val="uk-UA"/>
                    </w:rPr>
                    <w:t>Найменування/</w:t>
                  </w:r>
                </w:p>
                <w:p w:rsidR="007901AA" w:rsidRPr="00C328CD" w:rsidRDefault="007901AA" w:rsidP="00912787">
                  <w:pPr>
                    <w:suppressAutoHyphens/>
                    <w:jc w:val="center"/>
                    <w:rPr>
                      <w:b/>
                      <w:sz w:val="23"/>
                      <w:szCs w:val="23"/>
                      <w:lang w:val="uk-UA"/>
                    </w:rPr>
                  </w:pPr>
                  <w:r w:rsidRPr="00C328CD">
                    <w:rPr>
                      <w:b/>
                      <w:bCs/>
                      <w:sz w:val="23"/>
                      <w:szCs w:val="23"/>
                      <w:lang w:val="uk-UA" w:eastAsia="ar-SA"/>
                    </w:rPr>
                    <w:t>Країна виробник</w:t>
                  </w:r>
                </w:p>
              </w:tc>
              <w:tc>
                <w:tcPr>
                  <w:tcW w:w="578"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7901AA" w:rsidRPr="00C328CD" w:rsidRDefault="007901AA"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r w:rsidRPr="00C328CD">
                    <w:rPr>
                      <w:b/>
                      <w:sz w:val="23"/>
                      <w:szCs w:val="23"/>
                      <w:lang w:val="uk-UA"/>
                    </w:rPr>
                    <w:t>Сума, грн. з (без)  ПДВ</w:t>
                  </w:r>
                </w:p>
              </w:tc>
            </w:tr>
            <w:tr w:rsidR="007901AA" w:rsidRPr="00C328CD" w:rsidTr="007901AA">
              <w:trPr>
                <w:trHeight w:val="1106"/>
                <w:jc w:val="center"/>
              </w:trPr>
              <w:tc>
                <w:tcPr>
                  <w:tcW w:w="350" w:type="pct"/>
                  <w:shd w:val="clear" w:color="auto" w:fill="auto"/>
                  <w:vAlign w:val="center"/>
                  <w:hideMark/>
                </w:tcPr>
                <w:p w:rsidR="007901AA" w:rsidRPr="00C328CD" w:rsidRDefault="007901AA" w:rsidP="00912787">
                  <w:pPr>
                    <w:suppressAutoHyphens/>
                    <w:jc w:val="center"/>
                    <w:rPr>
                      <w:b/>
                      <w:sz w:val="23"/>
                      <w:szCs w:val="23"/>
                      <w:lang w:val="uk-UA"/>
                    </w:rPr>
                  </w:pPr>
                  <w:r>
                    <w:rPr>
                      <w:b/>
                      <w:sz w:val="23"/>
                      <w:szCs w:val="23"/>
                      <w:lang w:val="uk-UA"/>
                    </w:rPr>
                    <w:t>1</w:t>
                  </w:r>
                </w:p>
              </w:tc>
              <w:tc>
                <w:tcPr>
                  <w:tcW w:w="229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379" w:type="pct"/>
                  <w:tcBorders>
                    <w:bottom w:val="single" w:sz="4" w:space="0" w:color="000000"/>
                  </w:tcBorders>
                  <w:vAlign w:val="center"/>
                </w:tcPr>
                <w:p w:rsidR="007901AA" w:rsidRPr="00C328CD" w:rsidRDefault="007901AA"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p>
              </w:tc>
            </w:tr>
            <w:tr w:rsidR="007901AA" w:rsidRPr="00C328CD" w:rsidTr="007901AA">
              <w:trPr>
                <w:trHeight w:val="1106"/>
                <w:jc w:val="center"/>
              </w:trPr>
              <w:tc>
                <w:tcPr>
                  <w:tcW w:w="350" w:type="pct"/>
                  <w:shd w:val="clear" w:color="auto" w:fill="auto"/>
                  <w:vAlign w:val="center"/>
                  <w:hideMark/>
                </w:tcPr>
                <w:p w:rsidR="007901AA" w:rsidRDefault="007901AA" w:rsidP="00912787">
                  <w:pPr>
                    <w:suppressAutoHyphens/>
                    <w:jc w:val="center"/>
                    <w:rPr>
                      <w:b/>
                      <w:sz w:val="23"/>
                      <w:szCs w:val="23"/>
                      <w:lang w:val="uk-UA"/>
                    </w:rPr>
                  </w:pPr>
                  <w:r>
                    <w:rPr>
                      <w:b/>
                      <w:sz w:val="23"/>
                      <w:szCs w:val="23"/>
                      <w:lang w:val="uk-UA"/>
                    </w:rPr>
                    <w:t>2</w:t>
                  </w:r>
                </w:p>
              </w:tc>
              <w:tc>
                <w:tcPr>
                  <w:tcW w:w="229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379" w:type="pct"/>
                  <w:tcBorders>
                    <w:bottom w:val="single" w:sz="4" w:space="0" w:color="000000"/>
                  </w:tcBorders>
                  <w:vAlign w:val="center"/>
                </w:tcPr>
                <w:p w:rsidR="007901AA" w:rsidRPr="00C328CD" w:rsidRDefault="007901AA"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p>
              </w:tc>
            </w:tr>
            <w:tr w:rsidR="007901AA" w:rsidRPr="00C328CD" w:rsidTr="007901AA">
              <w:trPr>
                <w:trHeight w:val="1106"/>
                <w:jc w:val="center"/>
              </w:trPr>
              <w:tc>
                <w:tcPr>
                  <w:tcW w:w="350" w:type="pct"/>
                  <w:shd w:val="clear" w:color="auto" w:fill="auto"/>
                  <w:vAlign w:val="center"/>
                  <w:hideMark/>
                </w:tcPr>
                <w:p w:rsidR="007901AA" w:rsidRDefault="007901AA" w:rsidP="00912787">
                  <w:pPr>
                    <w:suppressAutoHyphens/>
                    <w:jc w:val="center"/>
                    <w:rPr>
                      <w:b/>
                      <w:sz w:val="23"/>
                      <w:szCs w:val="23"/>
                      <w:lang w:val="uk-UA"/>
                    </w:rPr>
                  </w:pPr>
                  <w:r>
                    <w:rPr>
                      <w:b/>
                      <w:sz w:val="23"/>
                      <w:szCs w:val="23"/>
                      <w:lang w:val="uk-UA"/>
                    </w:rPr>
                    <w:t>3</w:t>
                  </w:r>
                </w:p>
              </w:tc>
              <w:tc>
                <w:tcPr>
                  <w:tcW w:w="229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7901AA" w:rsidRPr="00C328CD" w:rsidRDefault="007901AA" w:rsidP="00912787">
                  <w:pPr>
                    <w:suppressAutoHyphens/>
                    <w:jc w:val="center"/>
                    <w:rPr>
                      <w:b/>
                      <w:sz w:val="23"/>
                      <w:szCs w:val="23"/>
                      <w:lang w:val="uk-UA"/>
                    </w:rPr>
                  </w:pPr>
                </w:p>
              </w:tc>
              <w:tc>
                <w:tcPr>
                  <w:tcW w:w="379" w:type="pct"/>
                  <w:tcBorders>
                    <w:bottom w:val="single" w:sz="4" w:space="0" w:color="000000"/>
                  </w:tcBorders>
                  <w:vAlign w:val="center"/>
                </w:tcPr>
                <w:p w:rsidR="007901AA" w:rsidRPr="00C328CD" w:rsidRDefault="007901AA"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7901AA" w:rsidRPr="00C328CD" w:rsidRDefault="007901AA" w:rsidP="00912787">
                  <w:pPr>
                    <w:suppressAutoHyphens/>
                    <w:jc w:val="center"/>
                    <w:rPr>
                      <w:b/>
                      <w:sz w:val="23"/>
                      <w:szCs w:val="23"/>
                      <w:lang w:val="uk-UA"/>
                    </w:rPr>
                  </w:pPr>
                </w:p>
              </w:tc>
            </w:tr>
            <w:tr w:rsidR="001B4960" w:rsidRPr="00C328CD" w:rsidTr="00775A53">
              <w:trPr>
                <w:trHeight w:val="397"/>
                <w:jc w:val="center"/>
              </w:trPr>
              <w:tc>
                <w:tcPr>
                  <w:tcW w:w="4207" w:type="pct"/>
                  <w:gridSpan w:val="5"/>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5"/>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7"/>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DF" w:rsidRDefault="005C43DF" w:rsidP="00CB284C">
      <w:r>
        <w:separator/>
      </w:r>
    </w:p>
  </w:endnote>
  <w:endnote w:type="continuationSeparator" w:id="0">
    <w:p w:rsidR="005C43DF" w:rsidRDefault="005C43DF"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DF" w:rsidRDefault="005C43DF" w:rsidP="00CB284C">
      <w:r>
        <w:separator/>
      </w:r>
    </w:p>
  </w:footnote>
  <w:footnote w:type="continuationSeparator" w:id="0">
    <w:p w:rsidR="005C43DF" w:rsidRDefault="005C43DF"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C680B"/>
    <w:rsid w:val="000D2197"/>
    <w:rsid w:val="000E12C7"/>
    <w:rsid w:val="000E296C"/>
    <w:rsid w:val="000F2744"/>
    <w:rsid w:val="000F565E"/>
    <w:rsid w:val="000F79B1"/>
    <w:rsid w:val="00101853"/>
    <w:rsid w:val="00101B92"/>
    <w:rsid w:val="00105369"/>
    <w:rsid w:val="00113D87"/>
    <w:rsid w:val="00113DC3"/>
    <w:rsid w:val="00114853"/>
    <w:rsid w:val="00117691"/>
    <w:rsid w:val="0012481E"/>
    <w:rsid w:val="001321A2"/>
    <w:rsid w:val="001325A9"/>
    <w:rsid w:val="00135052"/>
    <w:rsid w:val="001417BB"/>
    <w:rsid w:val="00144CC3"/>
    <w:rsid w:val="00145267"/>
    <w:rsid w:val="00152081"/>
    <w:rsid w:val="0015583E"/>
    <w:rsid w:val="00156F62"/>
    <w:rsid w:val="00163953"/>
    <w:rsid w:val="001667C2"/>
    <w:rsid w:val="00166863"/>
    <w:rsid w:val="00170746"/>
    <w:rsid w:val="00171315"/>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7862"/>
    <w:rsid w:val="00237A93"/>
    <w:rsid w:val="00242FEA"/>
    <w:rsid w:val="00246D1F"/>
    <w:rsid w:val="00251D23"/>
    <w:rsid w:val="00261C90"/>
    <w:rsid w:val="0026553C"/>
    <w:rsid w:val="0027251E"/>
    <w:rsid w:val="002847DE"/>
    <w:rsid w:val="00286A58"/>
    <w:rsid w:val="002909D6"/>
    <w:rsid w:val="00290F2B"/>
    <w:rsid w:val="002946AA"/>
    <w:rsid w:val="002A460D"/>
    <w:rsid w:val="002B0403"/>
    <w:rsid w:val="002B59D5"/>
    <w:rsid w:val="002B5BF3"/>
    <w:rsid w:val="002C00FB"/>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8211D"/>
    <w:rsid w:val="0038461A"/>
    <w:rsid w:val="003C2E9F"/>
    <w:rsid w:val="003D26A3"/>
    <w:rsid w:val="003E54DC"/>
    <w:rsid w:val="00416E46"/>
    <w:rsid w:val="0042148F"/>
    <w:rsid w:val="00422179"/>
    <w:rsid w:val="00422990"/>
    <w:rsid w:val="00426582"/>
    <w:rsid w:val="00430D8F"/>
    <w:rsid w:val="0043280A"/>
    <w:rsid w:val="004351CB"/>
    <w:rsid w:val="004500EC"/>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E6F3C"/>
    <w:rsid w:val="004F21F9"/>
    <w:rsid w:val="004F68BA"/>
    <w:rsid w:val="00507395"/>
    <w:rsid w:val="00507D2A"/>
    <w:rsid w:val="00511127"/>
    <w:rsid w:val="00517E41"/>
    <w:rsid w:val="0052201B"/>
    <w:rsid w:val="00537F75"/>
    <w:rsid w:val="005419AA"/>
    <w:rsid w:val="00544139"/>
    <w:rsid w:val="00550B2B"/>
    <w:rsid w:val="00555418"/>
    <w:rsid w:val="00562B7D"/>
    <w:rsid w:val="005674B4"/>
    <w:rsid w:val="00570A0C"/>
    <w:rsid w:val="0057286D"/>
    <w:rsid w:val="00572981"/>
    <w:rsid w:val="005759E3"/>
    <w:rsid w:val="00577013"/>
    <w:rsid w:val="00577A5E"/>
    <w:rsid w:val="00586FEE"/>
    <w:rsid w:val="00594DE5"/>
    <w:rsid w:val="00597493"/>
    <w:rsid w:val="005A7385"/>
    <w:rsid w:val="005B2B04"/>
    <w:rsid w:val="005C43DF"/>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7465A"/>
    <w:rsid w:val="0067607E"/>
    <w:rsid w:val="00691490"/>
    <w:rsid w:val="00694AB4"/>
    <w:rsid w:val="00696952"/>
    <w:rsid w:val="006A0125"/>
    <w:rsid w:val="006B4D1D"/>
    <w:rsid w:val="006B71F2"/>
    <w:rsid w:val="006C249C"/>
    <w:rsid w:val="006C5F28"/>
    <w:rsid w:val="006C6A83"/>
    <w:rsid w:val="006D0983"/>
    <w:rsid w:val="006E51E0"/>
    <w:rsid w:val="006F2078"/>
    <w:rsid w:val="006F24CD"/>
    <w:rsid w:val="006F3521"/>
    <w:rsid w:val="00716F6A"/>
    <w:rsid w:val="00721E01"/>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01AA"/>
    <w:rsid w:val="00793D80"/>
    <w:rsid w:val="00794CAE"/>
    <w:rsid w:val="007966BD"/>
    <w:rsid w:val="00797E4C"/>
    <w:rsid w:val="007B761F"/>
    <w:rsid w:val="007C3CFB"/>
    <w:rsid w:val="007D06B1"/>
    <w:rsid w:val="007E0927"/>
    <w:rsid w:val="007F1CF1"/>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F2FC8"/>
    <w:rsid w:val="008F4EBE"/>
    <w:rsid w:val="008F6D56"/>
    <w:rsid w:val="00905A86"/>
    <w:rsid w:val="00912787"/>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4E4E"/>
    <w:rsid w:val="00A851ED"/>
    <w:rsid w:val="00A86EF5"/>
    <w:rsid w:val="00A92538"/>
    <w:rsid w:val="00A93773"/>
    <w:rsid w:val="00A959DE"/>
    <w:rsid w:val="00AC118A"/>
    <w:rsid w:val="00AD4D1B"/>
    <w:rsid w:val="00AE1C6A"/>
    <w:rsid w:val="00AF16F7"/>
    <w:rsid w:val="00AF1A23"/>
    <w:rsid w:val="00B018D5"/>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CF662E"/>
    <w:rsid w:val="00D0305D"/>
    <w:rsid w:val="00D10B02"/>
    <w:rsid w:val="00D11C5E"/>
    <w:rsid w:val="00D16A1A"/>
    <w:rsid w:val="00D26341"/>
    <w:rsid w:val="00D36664"/>
    <w:rsid w:val="00D40C7A"/>
    <w:rsid w:val="00D41E6B"/>
    <w:rsid w:val="00D421E4"/>
    <w:rsid w:val="00D45B43"/>
    <w:rsid w:val="00D47459"/>
    <w:rsid w:val="00D47B22"/>
    <w:rsid w:val="00D512F2"/>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5263"/>
    <w:rsid w:val="00E518FD"/>
    <w:rsid w:val="00E60548"/>
    <w:rsid w:val="00E60B65"/>
    <w:rsid w:val="00E63767"/>
    <w:rsid w:val="00E643A9"/>
    <w:rsid w:val="00E66A3F"/>
    <w:rsid w:val="00E76D53"/>
    <w:rsid w:val="00E77FC4"/>
    <w:rsid w:val="00E83E4B"/>
    <w:rsid w:val="00E84401"/>
    <w:rsid w:val="00E854AC"/>
    <w:rsid w:val="00E87102"/>
    <w:rsid w:val="00E91CA4"/>
    <w:rsid w:val="00EA276F"/>
    <w:rsid w:val="00EA5D5A"/>
    <w:rsid w:val="00EB3F04"/>
    <w:rsid w:val="00EC2391"/>
    <w:rsid w:val="00EC3C15"/>
    <w:rsid w:val="00EC5C2E"/>
    <w:rsid w:val="00EC5F7A"/>
    <w:rsid w:val="00ED2BA4"/>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83"/>
    <w:rsid w:val="00F70EAB"/>
    <w:rsid w:val="00F734B4"/>
    <w:rsid w:val="00F754E3"/>
    <w:rsid w:val="00F7778D"/>
    <w:rsid w:val="00F77C73"/>
    <w:rsid w:val="00F81AAE"/>
    <w:rsid w:val="00F81E17"/>
    <w:rsid w:val="00F87F78"/>
    <w:rsid w:val="00F96383"/>
    <w:rsid w:val="00FA52B9"/>
    <w:rsid w:val="00FB563C"/>
    <w:rsid w:val="00FB6D09"/>
    <w:rsid w:val="00FC0684"/>
    <w:rsid w:val="00FC3672"/>
    <w:rsid w:val="00FC7A45"/>
    <w:rsid w:val="00FD6A9E"/>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1FBB09-45C1-41C0-BF1C-B7782DE0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4411</Words>
  <Characters>25148</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121</cp:revision>
  <cp:lastPrinted>2024-02-09T10:17:00Z</cp:lastPrinted>
  <dcterms:created xsi:type="dcterms:W3CDTF">2024-01-17T10:49:00Z</dcterms:created>
  <dcterms:modified xsi:type="dcterms:W3CDTF">2024-03-15T08:20:00Z</dcterms:modified>
</cp:coreProperties>
</file>