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F120B8">
        <w:rPr>
          <w:rFonts w:ascii="Times New Roman" w:eastAsia="Times New Roman" w:hAnsi="Times New Roman"/>
          <w:b/>
          <w:sz w:val="28"/>
          <w:szCs w:val="28"/>
          <w:lang w:val="uk-UA" w:eastAsia="ru-RU"/>
        </w:rPr>
        <w:t>05 квітня</w:t>
      </w:r>
      <w:r w:rsidR="0003677B">
        <w:rPr>
          <w:rFonts w:ascii="Times New Roman" w:eastAsia="Times New Roman" w:hAnsi="Times New Roman"/>
          <w:b/>
          <w:sz w:val="28"/>
          <w:szCs w:val="28"/>
          <w:lang w:val="uk-UA" w:eastAsia="ru-RU"/>
        </w:rPr>
        <w:t xml:space="preserve"> 2023 №</w:t>
      </w:r>
      <w:r w:rsidR="00F120B8">
        <w:rPr>
          <w:rFonts w:ascii="Times New Roman" w:eastAsia="Times New Roman" w:hAnsi="Times New Roman"/>
          <w:b/>
          <w:sz w:val="28"/>
          <w:szCs w:val="28"/>
          <w:lang w:val="uk-UA" w:eastAsia="ru-RU"/>
        </w:rPr>
        <w:t>24</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F120B8" w:rsidRPr="00F120B8" w:rsidRDefault="000E10C5" w:rsidP="00F120B8">
      <w:pPr>
        <w:tabs>
          <w:tab w:val="left" w:pos="426"/>
        </w:tabs>
        <w:spacing w:after="0" w:line="240" w:lineRule="auto"/>
        <w:jc w:val="center"/>
        <w:rPr>
          <w:rFonts w:ascii="Times New Roman" w:eastAsia="Times New Roman" w:hAnsi="Times New Roman"/>
          <w:b/>
          <w:i/>
          <w:sz w:val="56"/>
          <w:szCs w:val="32"/>
          <w:lang w:val="uk-UA" w:eastAsia="ru-RU"/>
        </w:rPr>
      </w:pPr>
      <w:r w:rsidRPr="000E10C5">
        <w:rPr>
          <w:rFonts w:ascii="Times New Roman" w:eastAsia="Times New Roman" w:hAnsi="Times New Roman"/>
          <w:b/>
          <w:i/>
          <w:sz w:val="56"/>
          <w:szCs w:val="32"/>
          <w:lang w:val="uk-UA" w:eastAsia="ru-RU"/>
        </w:rPr>
        <w:t>«</w:t>
      </w:r>
      <w:r w:rsidR="00E8567F">
        <w:rPr>
          <w:rFonts w:ascii="Times New Roman" w:eastAsia="Times New Roman" w:hAnsi="Times New Roman"/>
          <w:b/>
          <w:i/>
          <w:sz w:val="56"/>
          <w:szCs w:val="32"/>
          <w:lang w:val="uk-UA" w:eastAsia="ru-RU"/>
        </w:rPr>
        <w:t>Навчальні комп’ютерн</w:t>
      </w:r>
      <w:r w:rsidR="00F120B8">
        <w:rPr>
          <w:rFonts w:ascii="Times New Roman" w:eastAsia="Times New Roman" w:hAnsi="Times New Roman"/>
          <w:b/>
          <w:i/>
          <w:sz w:val="56"/>
          <w:szCs w:val="32"/>
          <w:lang w:val="uk-UA" w:eastAsia="ru-RU"/>
        </w:rPr>
        <w:t>і</w:t>
      </w:r>
      <w:r w:rsidR="00F120B8" w:rsidRPr="00F120B8">
        <w:rPr>
          <w:rFonts w:ascii="Times New Roman" w:eastAsia="Times New Roman" w:hAnsi="Times New Roman"/>
          <w:b/>
          <w:i/>
          <w:sz w:val="56"/>
          <w:szCs w:val="32"/>
          <w:lang w:val="uk-UA" w:eastAsia="ru-RU"/>
        </w:rPr>
        <w:t xml:space="preserve"> комплекс</w:t>
      </w:r>
      <w:r w:rsidR="00F120B8">
        <w:rPr>
          <w:rFonts w:ascii="Times New Roman" w:eastAsia="Times New Roman" w:hAnsi="Times New Roman"/>
          <w:b/>
          <w:i/>
          <w:sz w:val="56"/>
          <w:szCs w:val="32"/>
          <w:lang w:val="uk-UA" w:eastAsia="ru-RU"/>
        </w:rPr>
        <w:t xml:space="preserve">и </w:t>
      </w:r>
    </w:p>
    <w:p w:rsidR="00F120B8" w:rsidRPr="00F120B8" w:rsidRDefault="00F120B8" w:rsidP="00F120B8">
      <w:pPr>
        <w:tabs>
          <w:tab w:val="left" w:pos="426"/>
        </w:tabs>
        <w:spacing w:after="0" w:line="240" w:lineRule="auto"/>
        <w:jc w:val="center"/>
        <w:rPr>
          <w:rFonts w:ascii="Times New Roman" w:eastAsia="Times New Roman" w:hAnsi="Times New Roman"/>
          <w:b/>
          <w:i/>
          <w:sz w:val="56"/>
          <w:szCs w:val="32"/>
          <w:lang w:val="uk-UA" w:eastAsia="ru-RU"/>
        </w:rPr>
      </w:pPr>
      <w:r w:rsidRPr="00F120B8">
        <w:rPr>
          <w:rFonts w:ascii="Times New Roman" w:eastAsia="Times New Roman" w:hAnsi="Times New Roman"/>
          <w:b/>
          <w:i/>
          <w:sz w:val="56"/>
          <w:szCs w:val="32"/>
          <w:lang w:val="uk-UA" w:eastAsia="ru-RU"/>
        </w:rPr>
        <w:t>для кабінетів інформатики</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Pr>
          <w:rFonts w:ascii="Times New Roman" w:eastAsia="Times New Roman" w:hAnsi="Times New Roman"/>
          <w:b/>
          <w:i/>
          <w:sz w:val="56"/>
          <w:szCs w:val="32"/>
          <w:lang w:val="uk-UA" w:eastAsia="ru-RU"/>
        </w:rPr>
        <w:t xml:space="preserve"> 021:2015 - </w:t>
      </w:r>
      <w:r w:rsidRPr="00F120B8">
        <w:rPr>
          <w:rFonts w:ascii="Times New Roman" w:eastAsia="Times New Roman" w:hAnsi="Times New Roman"/>
          <w:b/>
          <w:i/>
          <w:sz w:val="56"/>
          <w:szCs w:val="32"/>
          <w:lang w:val="uk-UA" w:eastAsia="ru-RU"/>
        </w:rPr>
        <w:t xml:space="preserve">30210000-4 </w:t>
      </w:r>
      <w:r>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Машини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для</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обробки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даних</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апаратна</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частина</w:t>
      </w:r>
      <w:r w:rsidRPr="00F120B8">
        <w:rPr>
          <w:rFonts w:ascii="Times New Roman" w:eastAsia="Times New Roman" w:hAnsi="Times New Roman"/>
          <w:b/>
          <w:i/>
          <w:sz w:val="56"/>
          <w:szCs w:val="32"/>
          <w:lang w:val="uk-UA" w:eastAsia="ru-RU"/>
        </w:rPr>
        <w:t>)</w:t>
      </w:r>
    </w:p>
    <w:p w:rsidR="00183392" w:rsidRPr="00F120B8"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P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E334D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E334D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F120B8" w:rsidRPr="00F120B8" w:rsidRDefault="00F120B8" w:rsidP="00F120B8">
            <w:pPr>
              <w:spacing w:before="150" w:after="150" w:line="240" w:lineRule="auto"/>
              <w:rPr>
                <w:rFonts w:ascii="Times New Roman" w:eastAsia="Times New Roman" w:hAnsi="Times New Roman"/>
                <w:b/>
                <w:color w:val="121212"/>
                <w:sz w:val="24"/>
                <w:szCs w:val="24"/>
                <w:shd w:val="clear" w:color="auto" w:fill="FAFAFA"/>
                <w:lang w:val="uk-UA" w:eastAsia="ru-RU"/>
              </w:rPr>
            </w:pPr>
            <w:r w:rsidRPr="00F120B8">
              <w:rPr>
                <w:rFonts w:ascii="Times New Roman" w:eastAsia="Times New Roman" w:hAnsi="Times New Roman"/>
                <w:b/>
                <w:color w:val="121212"/>
                <w:sz w:val="24"/>
                <w:szCs w:val="24"/>
                <w:shd w:val="clear" w:color="auto" w:fill="FAFAFA"/>
                <w:lang w:val="uk-UA" w:eastAsia="ru-RU"/>
              </w:rPr>
              <w:t>«На</w:t>
            </w:r>
            <w:r w:rsidR="00E8567F">
              <w:rPr>
                <w:rFonts w:ascii="Times New Roman" w:eastAsia="Times New Roman" w:hAnsi="Times New Roman"/>
                <w:b/>
                <w:color w:val="121212"/>
                <w:sz w:val="24"/>
                <w:szCs w:val="24"/>
                <w:shd w:val="clear" w:color="auto" w:fill="FAFAFA"/>
                <w:lang w:val="uk-UA" w:eastAsia="ru-RU"/>
              </w:rPr>
              <w:t>вчальні комп’ютерн</w:t>
            </w:r>
            <w:r>
              <w:rPr>
                <w:rFonts w:ascii="Times New Roman" w:eastAsia="Times New Roman" w:hAnsi="Times New Roman"/>
                <w:b/>
                <w:color w:val="121212"/>
                <w:sz w:val="24"/>
                <w:szCs w:val="24"/>
                <w:shd w:val="clear" w:color="auto" w:fill="FAFAFA"/>
                <w:lang w:val="uk-UA" w:eastAsia="ru-RU"/>
              </w:rPr>
              <w:t xml:space="preserve">і комплекси  </w:t>
            </w:r>
            <w:r w:rsidR="003C08E4">
              <w:rPr>
                <w:rFonts w:ascii="Times New Roman" w:eastAsia="Times New Roman" w:hAnsi="Times New Roman"/>
                <w:b/>
                <w:color w:val="121212"/>
                <w:sz w:val="24"/>
                <w:szCs w:val="24"/>
                <w:shd w:val="clear" w:color="auto" w:fill="FAFAFA"/>
                <w:lang w:val="uk-UA" w:eastAsia="ru-RU"/>
              </w:rPr>
              <w:t>для кабінетів інформатики</w:t>
            </w:r>
            <w:r w:rsidRPr="00F120B8">
              <w:rPr>
                <w:rFonts w:ascii="Times New Roman" w:eastAsia="Times New Roman" w:hAnsi="Times New Roman"/>
                <w:b/>
                <w:color w:val="121212"/>
                <w:sz w:val="24"/>
                <w:szCs w:val="24"/>
                <w:shd w:val="clear" w:color="auto" w:fill="FAFAFA"/>
                <w:lang w:val="uk-UA" w:eastAsia="ru-RU"/>
              </w:rPr>
              <w:t>» - код національного  класифікатора України  ДК 021:2015 - 30210000-4 - Машини для обробки даних (апаратна частина)</w:t>
            </w:r>
          </w:p>
          <w:p w:rsidR="00673CF1" w:rsidRPr="000E10C5" w:rsidRDefault="00673CF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E17398">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334DF">
              <w:rPr>
                <w:rFonts w:ascii="Times New Roman" w:hAnsi="Times New Roman"/>
                <w:b/>
                <w:bCs/>
                <w:iCs/>
                <w:color w:val="000000" w:themeColor="text1"/>
                <w:sz w:val="24"/>
                <w:szCs w:val="24"/>
                <w:lang w:val="uk-UA"/>
              </w:rPr>
              <w:t>до 01.07</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E334D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E334D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E334D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E334D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E334DF">
              <w:rPr>
                <w:rFonts w:ascii="Times New Roman" w:eastAsia="Times New Roman" w:hAnsi="Times New Roman"/>
                <w:b/>
                <w:sz w:val="23"/>
                <w:szCs w:val="23"/>
                <w:lang w:val="uk-UA" w:eastAsia="ru-RU"/>
              </w:rPr>
              <w:t>13</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E334D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E334DF"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4977E2" w:rsidRPr="004977E2" w:rsidRDefault="00B91D77" w:rsidP="004977E2">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4977E2" w:rsidRPr="004977E2">
        <w:rPr>
          <w:rFonts w:ascii="Times New Roman" w:eastAsia="Times New Roman" w:hAnsi="Times New Roman"/>
          <w:b/>
          <w:sz w:val="23"/>
          <w:szCs w:val="23"/>
          <w:lang w:val="uk-UA" w:eastAsia="ar-SA"/>
        </w:rPr>
        <w:t>«Навчальні комп’ютерниі компл</w:t>
      </w:r>
      <w:r w:rsidR="003C08E4">
        <w:rPr>
          <w:rFonts w:ascii="Times New Roman" w:eastAsia="Times New Roman" w:hAnsi="Times New Roman"/>
          <w:b/>
          <w:sz w:val="23"/>
          <w:szCs w:val="23"/>
          <w:lang w:val="uk-UA" w:eastAsia="ar-SA"/>
        </w:rPr>
        <w:t>екси  для кабінетів інформатики</w:t>
      </w:r>
      <w:r w:rsidR="004977E2" w:rsidRPr="004977E2">
        <w:rPr>
          <w:rFonts w:ascii="Times New Roman" w:eastAsia="Times New Roman" w:hAnsi="Times New Roman"/>
          <w:b/>
          <w:sz w:val="23"/>
          <w:szCs w:val="23"/>
          <w:lang w:val="uk-UA" w:eastAsia="ar-SA"/>
        </w:rPr>
        <w:t>» - код національного  класифікатора України  ДК 021:2015 - 30210000-4 - Машини для обробки даних (апаратна частина)</w:t>
      </w:r>
      <w:r w:rsidR="004977E2">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2A599D">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9460C7" w:rsidRDefault="009460C7" w:rsidP="0003756E">
      <w:pPr>
        <w:spacing w:after="0" w:line="240" w:lineRule="auto"/>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2A599D">
              <w:rPr>
                <w:rFonts w:ascii="Times New Roman" w:eastAsia="Arial" w:hAnsi="Times New Roman"/>
                <w:b/>
                <w:i/>
                <w:lang w:val="uk-UA" w:eastAsia="ru-RU"/>
              </w:rPr>
              <w:t xml:space="preserve">ДК 021:2015  - </w:t>
            </w:r>
            <w:r w:rsidR="004977E2" w:rsidRPr="004977E2">
              <w:rPr>
                <w:rFonts w:ascii="Times New Roman" w:eastAsia="Arial" w:hAnsi="Times New Roman"/>
                <w:b/>
                <w:i/>
                <w:lang w:val="uk-UA" w:eastAsia="ru-RU"/>
              </w:rPr>
              <w:t>30210000-4 - Машини для обробки даних (апаратна частина)</w:t>
            </w:r>
            <w:r w:rsidR="002A599D">
              <w:rPr>
                <w:rFonts w:ascii="Times New Roman" w:eastAsia="Arial" w:hAnsi="Times New Roman"/>
                <w:i/>
                <w:lang w:val="uk-UA" w:eastAsia="ru-RU"/>
              </w:rPr>
              <w:t>»</w:t>
            </w:r>
            <w:r w:rsidR="004977E2">
              <w:rPr>
                <w:rFonts w:ascii="Times New Roman" w:eastAsia="Arial" w:hAnsi="Times New Roman"/>
                <w:i/>
                <w:lang w:val="uk-UA" w:eastAsia="ru-RU"/>
              </w:rPr>
              <w:t>.</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r w:rsidR="002A599D" w:rsidRPr="00E334DF" w:rsidTr="00DF130F">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2" w:name="OLE_LINK3"/>
      <w:bookmarkStart w:id="3" w:name="OLE_LINK4"/>
      <w:bookmarkEnd w:id="2"/>
      <w:bookmarkEnd w:id="3"/>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надати </w:t>
      </w:r>
      <w:r w:rsidRPr="004977E2">
        <w:rPr>
          <w:rFonts w:ascii="Times New Roman" w:eastAsia="Times New Roman" w:hAnsi="Times New Roman"/>
          <w:u w:val="single"/>
          <w:lang w:val="uk-UA" w:eastAsia="ru-RU"/>
        </w:rPr>
        <w:t>довідку у довільній формі</w:t>
      </w:r>
      <w:r w:rsidRPr="00916C3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E334DF"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E334DF"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E334DF"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Інформація про необхідні технічні, якісні та кількісні характеристики предмета закупівлі</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Технічна специфікація</w:t>
      </w:r>
    </w:p>
    <w:p w:rsidR="004977E2" w:rsidRPr="004977E2" w:rsidRDefault="00E8567F" w:rsidP="004977E2">
      <w:pPr>
        <w:spacing w:after="0" w:line="240" w:lineRule="auto"/>
        <w:ind w:left="57" w:right="57"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«Навчальні комп’ютерн</w:t>
      </w:r>
      <w:r w:rsidR="004977E2" w:rsidRPr="004977E2">
        <w:rPr>
          <w:rFonts w:ascii="Times New Roman" w:eastAsia="Times New Roman" w:hAnsi="Times New Roman"/>
          <w:b/>
          <w:sz w:val="24"/>
          <w:szCs w:val="24"/>
          <w:lang w:val="uk-UA" w:eastAsia="ru-RU"/>
        </w:rPr>
        <w:t>і компл</w:t>
      </w:r>
      <w:r w:rsidR="003C08E4">
        <w:rPr>
          <w:rFonts w:ascii="Times New Roman" w:eastAsia="Times New Roman" w:hAnsi="Times New Roman"/>
          <w:b/>
          <w:sz w:val="24"/>
          <w:szCs w:val="24"/>
          <w:lang w:val="uk-UA" w:eastAsia="ru-RU"/>
        </w:rPr>
        <w:t>екси  для кабінетів інформатики</w:t>
      </w:r>
      <w:r w:rsidR="004977E2" w:rsidRPr="004977E2">
        <w:rPr>
          <w:rFonts w:ascii="Times New Roman" w:eastAsia="Times New Roman" w:hAnsi="Times New Roman"/>
          <w:b/>
          <w:sz w:val="24"/>
          <w:szCs w:val="24"/>
          <w:lang w:val="uk-UA" w:eastAsia="ru-RU"/>
        </w:rPr>
        <w:t>» - код національного  класифікатора України  ДК 021:2015 - 30210000-4 - Машини для обробки даних (апаратна частина)</w:t>
      </w:r>
    </w:p>
    <w:p w:rsidR="004977E2" w:rsidRPr="004977E2" w:rsidRDefault="004977E2" w:rsidP="004977E2">
      <w:pPr>
        <w:spacing w:after="0" w:line="240" w:lineRule="auto"/>
        <w:ind w:left="57" w:right="57" w:firstLine="709"/>
        <w:jc w:val="both"/>
        <w:rPr>
          <w:rFonts w:ascii="Times New Roman" w:eastAsia="Times New Roman" w:hAnsi="Times New Roman"/>
          <w:color w:val="000000"/>
          <w:sz w:val="24"/>
          <w:szCs w:val="24"/>
          <w:lang w:val="uk-UA" w:eastAsia="ru-RU"/>
        </w:rPr>
      </w:pP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Навчальний комп’ютерний комплекс з інтерактивним комплексом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для кабінетів інформатики ТИП 1– 5 комплектів,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Навчальний комп’ютерний комплекс з мультимедійним обладнанням для кабінетів інформатики ТИП 2</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 1 комплект</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692"/>
        <w:gridCol w:w="1388"/>
        <w:gridCol w:w="1416"/>
      </w:tblGrid>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 з/п</w:t>
            </w:r>
          </w:p>
        </w:tc>
        <w:tc>
          <w:tcPr>
            <w:tcW w:w="6692"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Найменування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trike/>
                <w:szCs w:val="24"/>
                <w:lang w:val="uk-UA" w:eastAsia="ru-RU"/>
              </w:rPr>
            </w:pPr>
            <w:r w:rsidRPr="004977E2">
              <w:rPr>
                <w:rFonts w:ascii="Times New Roman" w:eastAsia="Times New Roman" w:hAnsi="Times New Roman"/>
                <w:b/>
                <w:szCs w:val="24"/>
                <w:lang w:val="uk-UA" w:eastAsia="ru-RU"/>
              </w:rPr>
              <w:t>Кількість  в комплекті</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Кількість облікових комплектів</w:t>
            </w: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Інтерактивним комплексом для кабінетів інформатики ТИП 1:</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5</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оперативна пам'ять:</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1.2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Інтерактивний комплекс 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rPr>
                <w:rFonts w:ascii="Times New Roman" w:eastAsia="Times New Roman" w:hAnsi="Times New Roman"/>
                <w:b/>
                <w:bCs/>
                <w:sz w:val="24"/>
                <w:szCs w:val="24"/>
                <w:shd w:val="clear" w:color="auto" w:fill="FFFFFF"/>
                <w:lang w:val="uk-UA"/>
              </w:rPr>
            </w:pPr>
            <w:r w:rsidRPr="004977E2">
              <w:rPr>
                <w:rFonts w:ascii="Times New Roman" w:eastAsia="Times New Roman" w:hAnsi="Times New Roman"/>
                <w:b/>
                <w:bCs/>
                <w:sz w:val="24"/>
                <w:szCs w:val="24"/>
                <w:shd w:val="clear" w:color="auto" w:fill="FFFFFF"/>
                <w:lang w:val="uk-UA"/>
              </w:rPr>
              <w:t xml:space="preserve">Інтерактивна дошка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прямої проекції з можливістю настінного кріплення;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мінімальна діагональ не менше ніж </w:t>
            </w:r>
            <w:r w:rsidRPr="004977E2">
              <w:rPr>
                <w:rFonts w:ascii="Times New Roman" w:eastAsia="Times New Roman" w:hAnsi="Times New Roman"/>
                <w:sz w:val="24"/>
                <w:szCs w:val="24"/>
              </w:rPr>
              <w:t>80</w:t>
            </w:r>
            <w:r w:rsidRPr="004977E2">
              <w:rPr>
                <w:rFonts w:ascii="Times New Roman" w:eastAsia="Times New Roman" w:hAnsi="Times New Roman"/>
                <w:sz w:val="24"/>
                <w:szCs w:val="24"/>
                <w:lang w:val="uk-UA"/>
              </w:rPr>
              <w:t>″.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повинна забезпечувати можливість управління контентом безпосередньо за допомогою дотиків пальців руки або стилуса/маркера;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дошку не менше 3 років</w:t>
            </w:r>
          </w:p>
          <w:p w:rsidR="004977E2" w:rsidRPr="004977E2" w:rsidRDefault="004977E2" w:rsidP="004977E2">
            <w:pPr>
              <w:keepNext/>
              <w:keepLines/>
              <w:spacing w:after="0" w:line="240" w:lineRule="auto"/>
              <w:jc w:val="both"/>
              <w:outlineLvl w:val="0"/>
              <w:rPr>
                <w:rFonts w:ascii="Times New Roman" w:eastAsia="Batang" w:hAnsi="Times New Roman"/>
                <w:b/>
                <w:bCs/>
                <w:sz w:val="24"/>
                <w:szCs w:val="24"/>
                <w:shd w:val="clear" w:color="auto" w:fill="FFFFFF"/>
                <w:lang w:val="uk-UA" w:eastAsia="ru-RU"/>
              </w:rPr>
            </w:pP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u w:val="single"/>
                <w:lang w:val="uk-UA"/>
              </w:rPr>
            </w:pPr>
            <w:r w:rsidRPr="004977E2">
              <w:rPr>
                <w:rFonts w:ascii="Times New Roman" w:eastAsia="Times New Roman" w:hAnsi="Times New Roman"/>
                <w:sz w:val="24"/>
                <w:szCs w:val="24"/>
                <w:lang w:val="uk-UA"/>
              </w:rPr>
              <w:t>монтажний комплект для інтерактивної дошки та підключення дошки до персонального комп’ютера вчителя;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uppressAutoHyphens/>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uppressAutoHyphens/>
              <w:spacing w:after="0" w:line="240" w:lineRule="auto"/>
              <w:rPr>
                <w:rFonts w:ascii="Times New Roman" w:eastAsia="Times New Roman" w:hAnsi="Times New Roman"/>
                <w:b/>
                <w:sz w:val="24"/>
                <w:szCs w:val="24"/>
                <w:lang w:val="uk-UA" w:eastAsia="ar-SA"/>
              </w:rPr>
            </w:pPr>
            <w:r w:rsidRPr="004977E2">
              <w:rPr>
                <w:rFonts w:ascii="Times New Roman" w:eastAsia="Times New Roman" w:hAnsi="Times New Roman"/>
                <w:b/>
                <w:sz w:val="24"/>
                <w:szCs w:val="24"/>
                <w:lang w:val="uk-UA" w:eastAsia="ar-SA"/>
              </w:rPr>
              <w:t xml:space="preserve">Мультимедійний проектор з короткофокусним об’єктивом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світловий потік не менше 3000 ANSI люменів;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роздільна здатність проєктора повинна бути не менше XGA, 1024 × 768 пікселів, або WXGA, 1280 × 800 пікселів;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ресурс роботи лампи не менше 5000 годин у стандартному режимі;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проєктор повинен комплектуватись спеціальним підвісом, який кріпиться безпосередньо над верхнім краєм інтерактивної дошки до стіни або до стелі;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відстань від об’єктива проєктора до площини проекції не більше </w:t>
            </w:r>
            <w:smartTag w:uri="urn:schemas-microsoft-com:office:smarttags" w:element="metricconverter">
              <w:smartTagPr>
                <w:attr w:name="ProductID" w:val="1 м"/>
              </w:smartTagPr>
              <w:r w:rsidRPr="004977E2">
                <w:rPr>
                  <w:rFonts w:ascii="Times New Roman" w:eastAsia="Times New Roman" w:hAnsi="Times New Roman"/>
                  <w:sz w:val="24"/>
                  <w:szCs w:val="24"/>
                  <w:lang w:val="uk-UA"/>
                </w:rPr>
                <w:t>1 м</w:t>
              </w:r>
            </w:smartTag>
            <w:r w:rsidRPr="004977E2">
              <w:rPr>
                <w:rFonts w:ascii="Times New Roman" w:eastAsia="Times New Roman" w:hAnsi="Times New Roman"/>
                <w:sz w:val="24"/>
                <w:szCs w:val="24"/>
                <w:lang w:val="uk-UA"/>
              </w:rPr>
              <w:t>;</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проєктор не менше 3 років;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гарантія на лампу проєктора не менше 1 року або 1000 годин в робочому режимі</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i/>
                <w:sz w:val="24"/>
                <w:szCs w:val="24"/>
                <w:lang w:val="uk-UA" w:eastAsia="ar-SA"/>
              </w:rPr>
            </w:pPr>
            <w:r w:rsidRPr="004977E2">
              <w:rPr>
                <w:rFonts w:ascii="Times New Roman" w:eastAsia="Times New Roman" w:hAnsi="Times New Roman"/>
                <w:i/>
                <w:sz w:val="24"/>
                <w:szCs w:val="24"/>
                <w:lang w:val="uk-UA" w:eastAsia="ar-SA"/>
              </w:rPr>
              <w:t>Базове програмне забезпечення для інтерактивної дошки та мультимедійного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bCs/>
                <w:sz w:val="24"/>
                <w:szCs w:val="24"/>
                <w:lang w:val="uk-UA" w:eastAsia="ru-RU"/>
              </w:rPr>
            </w:pPr>
            <w:r w:rsidRPr="004977E2">
              <w:rPr>
                <w:rFonts w:ascii="Times New Roman" w:eastAsia="Times New Roman" w:hAnsi="Times New Roman"/>
                <w:sz w:val="24"/>
                <w:szCs w:val="24"/>
                <w:lang w:val="uk-UA"/>
              </w:rPr>
              <w:t>для створення, перегляду та програвання інтерактивного навчального контенту;</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сумісне з операційною системою (далі - ОС) ПК педагогічного працівника</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b/>
                <w:sz w:val="24"/>
                <w:szCs w:val="24"/>
                <w:shd w:val="clear" w:color="auto" w:fill="FFFFFF"/>
                <w:lang w:val="uk-UA" w:eastAsia="ru-RU"/>
              </w:rPr>
              <w:t>Акустична система зовнішня або вбудована в проєктор (за потребою):</w:t>
            </w:r>
            <w:r w:rsidRPr="004977E2">
              <w:rPr>
                <w:rFonts w:ascii="Times New Roman" w:eastAsia="Times New Roman" w:hAnsi="Times New Roman"/>
                <w:b/>
                <w:sz w:val="24"/>
                <w:szCs w:val="24"/>
                <w:lang w:val="uk-UA" w:eastAsia="ru-RU"/>
              </w:rPr>
              <w:br/>
            </w:r>
            <w:r w:rsidRPr="004977E2">
              <w:rPr>
                <w:rFonts w:ascii="Times New Roman" w:eastAsia="Times New Roman" w:hAnsi="Times New Roman"/>
                <w:sz w:val="24"/>
                <w:szCs w:val="24"/>
                <w:shd w:val="clear" w:color="auto" w:fill="FFFFFF"/>
                <w:lang w:val="uk-UA" w:eastAsia="ru-RU"/>
              </w:rPr>
              <w:t>потужність не менше ніж 10 Вт</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en-US" w:eastAsia="ru-RU"/>
              </w:rPr>
            </w:pPr>
            <w:r w:rsidRPr="004977E2">
              <w:rPr>
                <w:rFonts w:ascii="Times New Roman" w:eastAsia="Times New Roman" w:hAnsi="Times New Roman"/>
                <w:b/>
                <w:sz w:val="24"/>
                <w:szCs w:val="24"/>
                <w:lang w:val="uk-UA" w:eastAsia="ru-RU"/>
              </w:rPr>
              <w:t>1.</w:t>
            </w:r>
            <w:r w:rsidRPr="004977E2">
              <w:rPr>
                <w:rFonts w:ascii="Times New Roman" w:eastAsia="Times New Roman" w:hAnsi="Times New Roman"/>
                <w:b/>
                <w:sz w:val="24"/>
                <w:szCs w:val="24"/>
                <w:lang w:val="en-US" w:eastAsia="ru-RU"/>
              </w:rPr>
              <w:t>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sz w:val="24"/>
                <w:szCs w:val="24"/>
                <w:shd w:val="clear" w:color="auto" w:fill="FFFFFF"/>
                <w:lang w:val="uk-UA" w:eastAsia="ru-RU"/>
              </w:rPr>
            </w:pPr>
            <w:r w:rsidRPr="004977E2">
              <w:rPr>
                <w:rFonts w:ascii="Times New Roman" w:eastAsia="Times New Roman" w:hAnsi="Times New Roman"/>
                <w:b/>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дошки, мультимедійного проектора, Персонального комп'ютера форм-фактора ноутбук вчителя як єдиного інтерактивного комплек</w:t>
            </w:r>
            <w:r w:rsidRPr="004977E2">
              <w:rPr>
                <w:rFonts w:ascii="Times New Roman" w:eastAsia="Batang" w:hAnsi="Times New Roman"/>
                <w:bCs/>
                <w:sz w:val="24"/>
                <w:szCs w:val="24"/>
                <w:shd w:val="clear" w:color="auto" w:fill="FFFFFF"/>
                <w:lang w:val="en-US" w:eastAsia="ru-RU"/>
              </w:rPr>
              <w:t>c</w:t>
            </w:r>
            <w:r w:rsidRPr="004977E2">
              <w:rPr>
                <w:rFonts w:ascii="Times New Roman" w:eastAsia="Batang" w:hAnsi="Times New Roman"/>
                <w:bCs/>
                <w:sz w:val="24"/>
                <w:szCs w:val="24"/>
                <w:shd w:val="clear" w:color="auto" w:fill="FFFFFF"/>
                <w:lang w:val="uk-UA" w:eastAsia="ru-RU"/>
              </w:rPr>
              <w:t xml:space="preserve">у. </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мультимедійним обладнанням для кабінетів інформатики ТИП 2:</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2.1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2.2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Мультимедійне обладнання</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2.2.1</w:t>
            </w:r>
          </w:p>
        </w:tc>
        <w:tc>
          <w:tcPr>
            <w:tcW w:w="6692" w:type="dxa"/>
            <w:vAlign w:val="center"/>
          </w:tcPr>
          <w:p w:rsidR="004977E2" w:rsidRPr="004977E2" w:rsidRDefault="004977E2" w:rsidP="004977E2">
            <w:pPr>
              <w:tabs>
                <w:tab w:val="left" w:pos="0"/>
              </w:tabs>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Інтерактивна панель не менше 75</w:t>
            </w:r>
            <w:r w:rsidRPr="004977E2">
              <w:rPr>
                <w:rFonts w:ascii="Times New Roman" w:eastAsia="Times New Roman" w:hAnsi="Times New Roman"/>
                <w:sz w:val="24"/>
                <w:szCs w:val="24"/>
                <w:lang w:val="uk-UA" w:eastAsia="ru-RU"/>
              </w:rPr>
              <w:t>"</w:t>
            </w:r>
            <w:r w:rsidRPr="004977E2">
              <w:rPr>
                <w:rFonts w:ascii="Times New Roman" w:eastAsia="Times New Roman" w:hAnsi="Times New Roman"/>
                <w:b/>
                <w:sz w:val="24"/>
                <w:szCs w:val="24"/>
                <w:lang w:val="uk-UA" w:eastAsia="ru-RU"/>
              </w:rPr>
              <w:t xml:space="preserve">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Діагональ: не менше 75"</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Роздільна здатність екрану: не менше 4K UHD 3840 × 2160 пікселів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Яскравість не менше 400 кд/м</w:t>
            </w:r>
            <w:r w:rsidRPr="004977E2">
              <w:rPr>
                <w:rFonts w:ascii="Times New Roman" w:eastAsia="Times New Roman" w:hAnsi="Times New Roman"/>
                <w:sz w:val="24"/>
                <w:szCs w:val="24"/>
                <w:vertAlign w:val="superscript"/>
                <w:lang w:val="uk-UA" w:eastAsia="ru-RU"/>
              </w:rPr>
              <w:t>2</w:t>
            </w:r>
            <w:r w:rsidRPr="004977E2">
              <w:rPr>
                <w:rFonts w:ascii="Times New Roman" w:eastAsia="Times New Roman" w:hAnsi="Times New Roman"/>
                <w:sz w:val="24"/>
                <w:szCs w:val="24"/>
                <w:lang w:val="uk-UA" w:eastAsia="ru-RU"/>
              </w:rPr>
              <w:br/>
              <w:t>Контрастність не менше 5000:1</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Дотикова технологія управління контентом за допомогою дотиків пальців руки або стилуса/маркера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Кількість одночасних дотиків: не більше 20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Ресурс роботи матриці: не менше 50000 годин.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Захисне, загартоване, антиблікове скло екрану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Максимальне енергоспоживання в режимі роботи: не більше 200 Вт</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Вбудована акустична система не менше 2 х 15W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Вбудований комп`ютер на базі Android: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Процесор не нижче чотирьохядерного ARM Cortex A73 x 4</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Оперативна пам’ять не менше 4 Гб, Внутрішній накопичувач не менше 32 Гб;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Підтримка модулю TMP</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Інтерфейси: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Фронтальна панель: HDMI 2.0, USB 3.0 х 2, USB Touch</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Задня та/або бокова панелі: HDMI 2.0, USB 2.0, USB Touch, USB Type C (60 Вт живлення), Display Port, MicroSD, Lan-In (1 Гбіт), Lan-Out (1 Гбіт), RS-232</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Функція автоматичного оновлення (Over the Air).</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В комплектацію панелі повинні входити: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настінне кріплення, сумісне з інтерактивною панеллю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для інтерактивної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1) Базове програмне забезпечення. Інтерактивна панель повинна мати наступний функціонал на базі ОС Android (без необхідності використання додаткових пристроїв):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Підключення хмарних сервісів Google Drive, Microsoft OneDrive та інш., прив’язаних до облікового запису користувача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Reader або аналоги. Всі додатки повинні бути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Додаток «Дошка» повинен мати наступний функціонал: перо, маркер, стирання, вибір фонової розмітки, функція розділення екрани на 2 частини або більше для незалежної роботи двох користувачів, можливість вставки зображень та малюнків, математичні інструменти (лінійка, косинець, транспортир, коло), збереження роботи у форматі whiteboard, pdf</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категорізація,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w:t>
            </w:r>
            <w:r w:rsidRPr="00E334DF">
              <w:rPr>
                <w:rFonts w:ascii="Times New Roman" w:eastAsia="Times New Roman" w:hAnsi="Times New Roman"/>
                <w:sz w:val="24"/>
                <w:szCs w:val="24"/>
                <w:lang w:val="uk-UA" w:eastAsia="ru-RU"/>
              </w:rPr>
              <w:t>30</w:t>
            </w:r>
            <w:r w:rsidRPr="004977E2">
              <w:rPr>
                <w:rFonts w:ascii="Times New Roman" w:eastAsia="Times New Roman" w:hAnsi="Times New Roman"/>
                <w:color w:val="FF0000"/>
                <w:sz w:val="24"/>
                <w:szCs w:val="24"/>
                <w:lang w:val="uk-UA" w:eastAsia="ru-RU"/>
              </w:rPr>
              <w:t xml:space="preserve"> </w:t>
            </w:r>
            <w:r w:rsidRPr="004977E2">
              <w:rPr>
                <w:rFonts w:ascii="Times New Roman" w:eastAsia="Times New Roman" w:hAnsi="Times New Roman"/>
                <w:sz w:val="24"/>
                <w:szCs w:val="24"/>
                <w:lang w:val="uk-UA" w:eastAsia="ru-RU"/>
              </w:rPr>
              <w:t>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2) Програмне забезпечення для створення, перегляду та програвання інтерактивного навчального контенту з безстроковою ліцензією: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стандартних інструментів: ручка, маркер, ластик, заливка;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Бібліотека геометрічних фігур (квадрат, коло тощо). Не менше 40;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з'єднувальної лінії для закріплення об'єктів один до одного;</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математичних інструментів: лінійка, косинець, транспортир, циркуль, обертання фігури навколо завданої осі;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розпізнавання намальованих геометрічних фігур;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«Магічне чорнило» (Magic Ink), що дозволяє приховувати написане та відкривати будь яку його частину;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«шторка» для можливості приховання і відображення частини слайду як по горизонталі, так і по вертикалі;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Ліхтарик для підсвічування певної зони або її приховання. Повинна бути можливість обрати форму кола чи квадрату та вільно змінювати розмір;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захвату частини зображення у формі квадрату, формі ліній, довільній формі («ласо»), захвату всього екрану та активного вікна;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рядку, що біжить. Рядок, що біжить повинен відображатися поверх будь-яких додатків чи зображень;</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Введення математичних формул та виразів;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створення інтерактивних опитувань з використанням пристроїв учнів;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вставити мультимедійні елементи – зображення, відео, звук, посилання на веб-сторінки;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в програмному забезпечені бібліотеки готових об’єктів для створення уроків (зображення, схеми, звуки, анімація) – не менше 5000 об’єктів;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робити запис уроку (як всього екрану так і певної його частини). Можливість робити окремий запис звуку.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UkrainianBaltica" w:eastAsia="Times New Roman" w:hAnsi="UkrainianBaltica"/>
                <w:sz w:val="24"/>
                <w:szCs w:val="20"/>
                <w:lang w:eastAsia="ru-RU"/>
              </w:rPr>
            </w:pPr>
            <w:r w:rsidRPr="004977E2">
              <w:rPr>
                <w:rFonts w:ascii="Times New Roman" w:eastAsia="Times New Roman" w:hAnsi="Times New Roman"/>
                <w:sz w:val="24"/>
                <w:szCs w:val="24"/>
                <w:lang w:val="uk-UA" w:eastAsia="ru-RU"/>
              </w:rPr>
              <w:t xml:space="preserve">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 </w:t>
            </w:r>
          </w:p>
          <w:p w:rsidR="004977E2" w:rsidRPr="004977E2" w:rsidRDefault="004977E2" w:rsidP="004977E2">
            <w:pPr>
              <w:tabs>
                <w:tab w:val="left" w:pos="0"/>
              </w:tabs>
              <w:spacing w:after="0" w:line="240" w:lineRule="auto"/>
              <w:rPr>
                <w:rFonts w:ascii="Times New Roman" w:eastAsia="Times New Roman" w:hAnsi="Times New Roman"/>
                <w:sz w:val="24"/>
                <w:szCs w:val="24"/>
                <w:lang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3) Веб-сервіс для централізованого керування панелями в організації: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створення окремого аккаунту для домену Замовника для керування та моніторінгу роботи панелей, в т.ч. за допомогою аккаунтів Google, Microsoft;</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оновлення панелей онлайн;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віддаленого вимкнення панелей за розкладом;</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блокування оновлень, налаштувань, встановлення сторонніх додатків;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Учасник у складі пропозиції повинен надати посилання на такий сервіс у вільному он-лайн доступі.</w:t>
            </w:r>
          </w:p>
          <w:p w:rsidR="004977E2" w:rsidRPr="004977E2" w:rsidRDefault="004977E2" w:rsidP="004977E2">
            <w:pPr>
              <w:tabs>
                <w:tab w:val="left" w:pos="0"/>
              </w:tabs>
              <w:spacing w:after="0" w:line="240" w:lineRule="auto"/>
              <w:rPr>
                <w:rFonts w:ascii="Times New Roman" w:eastAsia="Times New Roman" w:hAnsi="Times New Roman"/>
                <w:sz w:val="24"/>
                <w:szCs w:val="24"/>
                <w:u w:val="single"/>
                <w:lang w:val="uk-UA"/>
              </w:rPr>
            </w:pP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2.2.2</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color w:val="333333"/>
                <w:sz w:val="24"/>
                <w:szCs w:val="24"/>
                <w:shd w:val="clear" w:color="auto" w:fill="FFFFFF"/>
                <w:lang w:val="uk-UA" w:eastAsia="ru-RU"/>
              </w:rPr>
            </w:pPr>
            <w:r w:rsidRPr="004977E2">
              <w:rPr>
                <w:rFonts w:ascii="Times New Roman" w:eastAsia="Times New Roman" w:hAnsi="Times New Roman"/>
                <w:b/>
                <w:color w:val="333333"/>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панелі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bl>
    <w:p w:rsidR="004977E2" w:rsidRPr="004977E2" w:rsidRDefault="004977E2" w:rsidP="004977E2">
      <w:pPr>
        <w:spacing w:after="0" w:line="240" w:lineRule="auto"/>
        <w:ind w:firstLine="369"/>
        <w:jc w:val="both"/>
        <w:rPr>
          <w:rFonts w:ascii="Times New Roman" w:eastAsia="Times New Roman" w:hAnsi="Times New Roman"/>
          <w:i/>
          <w:color w:val="000000"/>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sz w:val="24"/>
          <w:szCs w:val="24"/>
          <w:lang w:val="uk-UA" w:eastAsia="ru-RU"/>
        </w:rPr>
      </w:pPr>
      <w:r w:rsidRPr="004977E2">
        <w:rPr>
          <w:rFonts w:ascii="Times New Roman" w:eastAsia="Times New Roman" w:hAnsi="Times New Roman"/>
          <w:i/>
          <w:sz w:val="24"/>
          <w:szCs w:val="24"/>
          <w:lang w:val="uk-UA" w:eastAsia="ru-RU"/>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977E2">
        <w:rPr>
          <w:rFonts w:ascii="Times New Roman" w:eastAsia="Times New Roman" w:hAnsi="Times New Roman"/>
          <w:b/>
          <w:i/>
          <w:sz w:val="24"/>
          <w:szCs w:val="24"/>
          <w:lang w:val="uk-UA" w:eastAsia="ru-RU"/>
        </w:rPr>
        <w:t>«або еквівалент».</w:t>
      </w:r>
      <w:r w:rsidRPr="004977E2">
        <w:rPr>
          <w:rFonts w:ascii="Times New Roman" w:eastAsia="Times New Roman" w:hAnsi="Times New Roman"/>
          <w:sz w:val="24"/>
          <w:szCs w:val="24"/>
          <w:lang w:val="uk-UA" w:eastAsia="ru-RU"/>
        </w:rPr>
        <w:t xml:space="preserve"> </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r w:rsidRPr="004977E2">
        <w:rPr>
          <w:rFonts w:ascii="Times New Roman" w:eastAsia="Times New Roman" w:hAnsi="Times New Roman"/>
          <w:i/>
          <w:sz w:val="24"/>
          <w:szCs w:val="24"/>
          <w:lang w:val="uk-UA" w:eastAsia="ru-RU"/>
        </w:rPr>
        <w:t>Учасник надає таблицю,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w:t>
      </w:r>
    </w:p>
    <w:p w:rsidR="004977E2" w:rsidRPr="004977E2" w:rsidRDefault="004977E2" w:rsidP="004977E2">
      <w:pPr>
        <w:spacing w:after="0" w:line="240" w:lineRule="auto"/>
        <w:ind w:left="57" w:right="57" w:firstLine="369"/>
        <w:jc w:val="both"/>
        <w:rPr>
          <w:rFonts w:ascii="Times New Roman" w:eastAsia="Times New Roman" w:hAnsi="Times New Roman"/>
          <w:i/>
          <w:sz w:val="24"/>
          <w:szCs w:val="24"/>
          <w:lang w:val="uk-UA" w:eastAsia="ru-RU"/>
        </w:rPr>
      </w:pPr>
      <w:r w:rsidRPr="004977E2">
        <w:rPr>
          <w:rFonts w:ascii="Times New Roman" w:eastAsia="Times New Roman" w:hAnsi="Times New Roman"/>
          <w:b/>
          <w:i/>
          <w:sz w:val="24"/>
          <w:szCs w:val="24"/>
          <w:lang w:val="uk-UA" w:eastAsia="ru-RU"/>
        </w:rPr>
        <w:tab/>
      </w:r>
      <w:r w:rsidRPr="004977E2">
        <w:rPr>
          <w:rFonts w:ascii="Times New Roman" w:eastAsia="Times New Roman" w:hAnsi="Times New Roman"/>
          <w:i/>
          <w:sz w:val="24"/>
          <w:szCs w:val="24"/>
          <w:lang w:val="uk-UA" w:eastAsia="ru-RU"/>
        </w:rPr>
        <w:t>Технічні та якісні характеристики товару запропонованого учасником повинні відповідати встановленим Замовником вимогам.</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Гарантійні строк експлуатації на запропоновану продукцію повинен складати не менше 12 місяців з дати поставки товару. Учасник у складі тендерної пропозиції повинен подати лист із зазначенням гарантійного строку експлуатації на запропонований товар.</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 момент подання пропозиції на обладнання не повинні діяти терміни End-of-life, End-of-Sale та End-of-Support. Для підтвердження надати Довідку (складену в довільній формі) за підписом уповноваженої особи учасника та скріплену печаткою учасника (у разі її використання), яка підтверджує зазначене вище.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надати авторизаційний лист від виробника або його офіційних представництв на території України або його офіційних дистриб’юторів на території Україні для даної закупівлі із зазначенням найменування замовника або номера тендеру в системі публічних закупівель, назви та юридичної адреси учасника або номеру ЄДРПОУ/ІПН, який підтверджує статус учасника як партнера виробника, чинного на дату подання тендерних пропозицій, а саме на: ноутбук, інтерактивну панель </w:t>
      </w:r>
      <w:r w:rsidRPr="004977E2">
        <w:rPr>
          <w:rFonts w:ascii="UkrainianBaltica" w:eastAsia="Times New Roman" w:hAnsi="UkrainianBaltica"/>
          <w:sz w:val="24"/>
          <w:szCs w:val="20"/>
          <w:lang w:val="uk-UA" w:eastAsia="ru-RU"/>
        </w:rPr>
        <w:t>та програмн</w:t>
      </w:r>
      <w:r w:rsidRPr="004977E2">
        <w:rPr>
          <w:rFonts w:eastAsia="Times New Roman"/>
          <w:sz w:val="24"/>
          <w:szCs w:val="20"/>
          <w:lang w:val="uk-UA" w:eastAsia="ru-RU"/>
        </w:rPr>
        <w:t>е</w:t>
      </w:r>
      <w:r w:rsidRPr="004977E2">
        <w:rPr>
          <w:rFonts w:ascii="UkrainianBaltica" w:eastAsia="Times New Roman" w:hAnsi="UkrainianBaltica"/>
          <w:sz w:val="24"/>
          <w:szCs w:val="20"/>
          <w:lang w:val="uk-UA" w:eastAsia="ru-RU"/>
        </w:rPr>
        <w:t xml:space="preserve"> забезпечення до неї,</w:t>
      </w:r>
      <w:r w:rsidRPr="004977E2">
        <w:rPr>
          <w:rFonts w:ascii="Times New Roman" w:eastAsia="Times New Roman" w:hAnsi="Times New Roman"/>
          <w:sz w:val="24"/>
          <w:szCs w:val="24"/>
          <w:lang w:val="uk-UA" w:eastAsia="ru-RU"/>
        </w:rPr>
        <w:t xml:space="preserve"> електронні освітні ресурси, навчальний комп’ютерний комплекс та інтерактивний комплекс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(декларацій) належним чином зареєстрованої(-их) в органах з оцінки відповідності про відповідність запропонованого навчального комп’ютерного комплексу та інтерактивного комплексу вимогам Технічного регламенту низьковольтного електричного обладнання та Технічного регламенту з електромагнітної сумісності обладнання, з наявним в ній (них) посиланні на реквізити (номер, дата складання) протоколів випробувань, проведених в належним чином акредитованих Національним агентством з акредитації України лабораторіях.</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про відповідність вимогам Технічних регламентів низьковольтного обладнання та електромагнітної сумісності запропонованого Учасником обладнання, а саме на інтерактивну панель, чинних на дату розкриття пропозицій.</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 xml:space="preserve">Копію висновку санітарно-гігієнічної експертизи на: електронну інформаційно-освітню систему (або платформу), інтерактивний комплекс, </w:t>
      </w:r>
      <w:r w:rsidRPr="004977E2">
        <w:rPr>
          <w:rFonts w:ascii="Times New Roman" w:eastAsia="Times New Roman" w:hAnsi="Times New Roman"/>
          <w:sz w:val="24"/>
          <w:szCs w:val="24"/>
          <w:lang w:val="uk-UA" w:eastAsia="ru-RU"/>
        </w:rPr>
        <w:t>навчальний комп’ютерний комплекс</w:t>
      </w:r>
      <w:r w:rsidRPr="004977E2">
        <w:rPr>
          <w:rFonts w:ascii="Times New Roman" w:eastAsia="Times New Roman" w:hAnsi="Times New Roman"/>
          <w:sz w:val="24"/>
          <w:szCs w:val="24"/>
          <w:lang w:val="uk-UA"/>
        </w:rPr>
        <w:t xml:space="preserve"> чинні на дату розкриття пропозицій.</w:t>
      </w:r>
    </w:p>
    <w:p w:rsidR="004977E2" w:rsidRPr="004977E2" w:rsidRDefault="004977E2" w:rsidP="004977E2">
      <w:pPr>
        <w:numPr>
          <w:ilvl w:val="0"/>
          <w:numId w:val="31"/>
        </w:numPr>
        <w:spacing w:after="0" w:line="240" w:lineRule="auto"/>
        <w:ind w:left="426" w:right="57" w:firstLine="0"/>
        <w:jc w:val="both"/>
        <w:rPr>
          <w:rFonts w:ascii="Times New Roman" w:eastAsia="Times New Roman" w:hAnsi="Times New Roman"/>
          <w:sz w:val="24"/>
          <w:szCs w:val="24"/>
          <w:lang w:val="uk-UA"/>
        </w:rPr>
      </w:pPr>
      <w:r w:rsidRPr="004977E2">
        <w:rPr>
          <w:rFonts w:ascii="Times New Roman" w:eastAsia="Times New Roman" w:hAnsi="Times New Roman" w:hint="eastAsia"/>
          <w:sz w:val="24"/>
          <w:szCs w:val="24"/>
          <w:lang w:val="uk-UA" w:eastAsia="ru-RU"/>
        </w:rPr>
        <w:t>В</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ціну</w:t>
      </w:r>
      <w:r w:rsidRPr="004977E2">
        <w:rPr>
          <w:rFonts w:ascii="Times New Roman" w:eastAsia="Times New Roman" w:hAnsi="Times New Roman"/>
          <w:sz w:val="24"/>
          <w:szCs w:val="24"/>
          <w:lang w:val="uk-UA" w:eastAsia="ru-RU"/>
        </w:rPr>
        <w:t xml:space="preserve"> товару </w:t>
      </w:r>
      <w:r w:rsidRPr="004977E2">
        <w:rPr>
          <w:rFonts w:ascii="Times New Roman" w:eastAsia="Times New Roman" w:hAnsi="Times New Roman" w:hint="eastAsia"/>
          <w:sz w:val="24"/>
          <w:szCs w:val="24"/>
          <w:lang w:val="uk-UA" w:eastAsia="ru-RU"/>
        </w:rPr>
        <w:t>має</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входити</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доставка</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монтаж</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комп</w:t>
      </w:r>
      <w:r w:rsidRPr="004977E2">
        <w:rPr>
          <w:rFonts w:ascii="Times New Roman" w:eastAsia="Times New Roman" w:hAnsi="Times New Roman"/>
          <w:sz w:val="24"/>
          <w:szCs w:val="24"/>
          <w:lang w:eastAsia="ru-RU"/>
        </w:rPr>
        <w:t>’</w:t>
      </w:r>
      <w:r w:rsidRPr="004977E2">
        <w:rPr>
          <w:rFonts w:ascii="Times New Roman" w:eastAsia="Times New Roman" w:hAnsi="Times New Roman"/>
          <w:sz w:val="24"/>
          <w:szCs w:val="24"/>
          <w:lang w:val="uk-UA" w:eastAsia="ru-RU"/>
        </w:rPr>
        <w:t>ютерної техніки.</w:t>
      </w: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Місце поставки товару:</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Городищанська, 58</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Княгині Ольги, 41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- 19210,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 с. Скибин, вул. Героїв Небесної Сотні, 72</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- 19214,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sz w:val="24"/>
          <w:szCs w:val="24"/>
          <w:lang w:eastAsia="zh-CN"/>
        </w:rPr>
        <w:t>с.Тетерівка, вул. Незалежності, 3</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- 19243,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с. Бузівка, </w:t>
      </w:r>
      <w:r w:rsidRPr="004977E2">
        <w:rPr>
          <w:rFonts w:ascii="Times New Roman CYR" w:eastAsia="Times New Roman" w:hAnsi="Times New Roman CYR" w:cs="Times New Roman CYR"/>
          <w:sz w:val="24"/>
          <w:szCs w:val="24"/>
          <w:lang w:eastAsia="zh-CN"/>
        </w:rPr>
        <w:t>вул. Свободи, 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- 19253, </w:t>
      </w:r>
      <w:r w:rsidRPr="004977E2">
        <w:rPr>
          <w:rFonts w:ascii="Times New Roman CYR" w:eastAsia="Times New Roman" w:hAnsi="Times New Roman CYR" w:cs="Times New Roman CYR" w:hint="eastAsia"/>
          <w:sz w:val="24"/>
          <w:szCs w:val="24"/>
          <w:lang w:val="uk-UA" w:eastAsia="zh-CN"/>
        </w:rPr>
        <w:t>Черкаська</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обл</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Уманський</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район</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с</w:t>
      </w:r>
      <w:r w:rsidRPr="004977E2">
        <w:rPr>
          <w:rFonts w:ascii="Times New Roman CYR" w:eastAsia="Times New Roman" w:hAnsi="Times New Roman CYR" w:cs="Times New Roman CYR"/>
          <w:sz w:val="24"/>
          <w:szCs w:val="24"/>
          <w:lang w:val="uk-UA" w:eastAsia="zh-CN"/>
        </w:rPr>
        <w:t xml:space="preserve">. Соколівка, </w:t>
      </w:r>
      <w:r w:rsidRPr="004977E2">
        <w:rPr>
          <w:rFonts w:ascii="Times New Roman CYR" w:eastAsia="Times New Roman" w:hAnsi="Times New Roman CYR" w:cs="Times New Roman CYR"/>
          <w:sz w:val="24"/>
          <w:szCs w:val="24"/>
          <w:lang w:eastAsia="zh-CN"/>
        </w:rPr>
        <w:t>вул. Шкільна, 10</w:t>
      </w:r>
      <w:r w:rsidRPr="004977E2">
        <w:rPr>
          <w:rFonts w:ascii="Times New Roman CYR" w:eastAsia="Times New Roman" w:hAnsi="Times New Roman CYR" w:cs="Times New Roman CYR"/>
          <w:sz w:val="24"/>
          <w:szCs w:val="24"/>
          <w:lang w:val="uk-UA" w:eastAsia="zh-CN"/>
        </w:rPr>
        <w:t>.</w:t>
      </w:r>
    </w:p>
    <w:p w:rsid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Pr="00D74887" w:rsidRDefault="00182A0A" w:rsidP="00D74887">
      <w:pPr>
        <w:suppressAutoHyphens/>
        <w:spacing w:after="0" w:line="240" w:lineRule="auto"/>
        <w:rPr>
          <w:rFonts w:ascii="Times New Roman" w:eastAsia="Times New Roman" w:hAnsi="Times New Roman"/>
          <w:b/>
          <w:bCs/>
          <w:sz w:val="23"/>
          <w:szCs w:val="23"/>
          <w:lang w:val="uk-UA" w:eastAsia="uk-UA"/>
        </w:rPr>
      </w:pPr>
    </w:p>
    <w:p w:rsidR="00910409" w:rsidRDefault="00910409"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 xml:space="preserve">1.1. Постачальник бере на себе зобов'язання здійснити поставку і передати Замовнику </w:t>
      </w:r>
      <w:r w:rsidR="004977E2" w:rsidRPr="004977E2">
        <w:rPr>
          <w:rFonts w:ascii="Times New Roman CYR" w:eastAsia="Times New Roman" w:hAnsi="Times New Roman CYR" w:cs="Times New Roman CYR"/>
          <w:lang w:val="uk-UA" w:eastAsia="zh-CN"/>
        </w:rPr>
        <w:t xml:space="preserve">закупівлі </w:t>
      </w:r>
      <w:r w:rsidR="00E8567F">
        <w:rPr>
          <w:rFonts w:ascii="Times New Roman CYR" w:eastAsia="Times New Roman" w:hAnsi="Times New Roman CYR" w:cs="Times New Roman CYR"/>
          <w:b/>
          <w:lang w:val="uk-UA" w:eastAsia="zh-CN"/>
        </w:rPr>
        <w:t>«Навчальні комп’ютерн</w:t>
      </w:r>
      <w:r w:rsidR="004977E2" w:rsidRPr="004977E2">
        <w:rPr>
          <w:rFonts w:ascii="Times New Roman CYR" w:eastAsia="Times New Roman" w:hAnsi="Times New Roman CYR" w:cs="Times New Roman CYR"/>
          <w:b/>
          <w:lang w:val="uk-UA" w:eastAsia="zh-CN"/>
        </w:rPr>
        <w:t>і компл</w:t>
      </w:r>
      <w:r w:rsidR="003C08E4">
        <w:rPr>
          <w:rFonts w:ascii="Times New Roman CYR" w:eastAsia="Times New Roman" w:hAnsi="Times New Roman CYR" w:cs="Times New Roman CYR"/>
          <w:b/>
          <w:lang w:val="uk-UA" w:eastAsia="zh-CN"/>
        </w:rPr>
        <w:t>екси  для кабінетів інформатики</w:t>
      </w:r>
      <w:bookmarkStart w:id="4" w:name="_GoBack"/>
      <w:bookmarkEnd w:id="4"/>
      <w:r w:rsidR="004977E2" w:rsidRPr="004977E2">
        <w:rPr>
          <w:rFonts w:ascii="Times New Roman CYR" w:eastAsia="Times New Roman" w:hAnsi="Times New Roman CYR" w:cs="Times New Roman CYR"/>
          <w:b/>
          <w:lang w:val="uk-UA" w:eastAsia="zh-CN"/>
        </w:rPr>
        <w:t>» - код національного  класифікатора України  ДК 021:2015 - 30210000-4 - Машини для обробки даних (апаратна частина)</w:t>
      </w:r>
      <w:r w:rsidRPr="005D4395">
        <w:rPr>
          <w:rFonts w:ascii="Times New Roman CYR" w:eastAsia="Times New Roman" w:hAnsi="Times New Roman CYR" w:cs="Times New Roman CYR"/>
          <w:b/>
          <w:lang w:val="uk-UA" w:eastAsia="zh-CN"/>
        </w:rPr>
        <w:t xml:space="preserve">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2.6. Гарантійний термін на товар - </w:t>
      </w:r>
      <w:r w:rsidR="004977E2" w:rsidRPr="004977E2">
        <w:rPr>
          <w:rFonts w:ascii="Times New Roman CYR" w:eastAsia="Times New Roman" w:hAnsi="Times New Roman CYR" w:cs="Times New Roman CYR"/>
          <w:lang w:eastAsia="zh-CN"/>
        </w:rPr>
        <w:t>не менше 12 місяців з дати поставки товару</w:t>
      </w:r>
      <w:r w:rsidRPr="005D4395">
        <w:rPr>
          <w:rFonts w:ascii="Times New Roman CYR" w:eastAsia="Times New Roman" w:hAnsi="Times New Roman CYR" w:cs="Times New Roman CYR"/>
          <w:lang w:eastAsia="zh-CN"/>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2.11.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631220" w:rsidRDefault="00631220"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В ціну товару включені </w:t>
      </w:r>
      <w:r w:rsidR="005D4395" w:rsidRPr="005D4395">
        <w:rPr>
          <w:rFonts w:ascii="Times New Roman CYR" w:eastAsia="Times New Roman" w:hAnsi="Times New Roman CYR" w:cs="Times New Roman CYR"/>
          <w:lang w:eastAsia="zh-CN"/>
        </w:rPr>
        <w:t xml:space="preserve">монтаж товару, всі додаткові витрати Постачальника, обов’язкові платежі, збори, податки, доставку, </w:t>
      </w:r>
      <w:r>
        <w:rPr>
          <w:rFonts w:ascii="Times New Roman CYR" w:eastAsia="Times New Roman" w:hAnsi="Times New Roman CYR" w:cs="Times New Roman CYR"/>
          <w:lang w:eastAsia="zh-CN"/>
        </w:rPr>
        <w:t>вартість інших супутніх послуг.</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заявці, одноразово, протягом 5-ти днів з дня отримання заявки Постачальником, до </w:t>
      </w:r>
      <w:r w:rsidR="00E334DF">
        <w:rPr>
          <w:rFonts w:ascii="Times New Roman CYR" w:eastAsia="Times New Roman" w:hAnsi="Times New Roman CYR" w:cs="Times New Roman CYR"/>
          <w:lang w:eastAsia="zh-CN"/>
        </w:rPr>
        <w:t>01</w:t>
      </w:r>
      <w:r w:rsidR="00E0067E" w:rsidRPr="00E0067E">
        <w:rPr>
          <w:rFonts w:ascii="Times New Roman CYR" w:eastAsia="Times New Roman" w:hAnsi="Times New Roman CYR" w:cs="Times New Roman CYR"/>
          <w:lang w:eastAsia="zh-CN"/>
        </w:rPr>
        <w:t>.0</w:t>
      </w:r>
      <w:r w:rsidR="00E334DF">
        <w:rPr>
          <w:rFonts w:ascii="Times New Roman CYR" w:eastAsia="Times New Roman" w:hAnsi="Times New Roman CYR" w:cs="Times New Roman CYR"/>
          <w:lang w:val="uk-UA" w:eastAsia="zh-CN"/>
        </w:rPr>
        <w:t>7</w:t>
      </w:r>
      <w:r w:rsidRPr="00E0067E">
        <w:rPr>
          <w:rFonts w:ascii="Times New Roman CYR" w:eastAsia="Times New Roman" w:hAnsi="Times New Roman CYR" w:cs="Times New Roman CYR"/>
          <w:lang w:eastAsia="zh-CN"/>
        </w:rPr>
        <w:t>.2023 року</w:t>
      </w:r>
      <w:r w:rsidRPr="005D4395">
        <w:rPr>
          <w:rFonts w:ascii="Times New Roman CYR" w:eastAsia="Times New Roman" w:hAnsi="Times New Roman CYR" w:cs="Times New Roman CYR"/>
          <w:lang w:eastAsia="zh-CN"/>
        </w:rPr>
        <w:t xml:space="preserve"> (включно). </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 xml:space="preserve">5.2. Поставка </w:t>
      </w:r>
      <w:r>
        <w:rPr>
          <w:rFonts w:ascii="Times New Roman CYR" w:eastAsia="Times New Roman" w:hAnsi="Times New Roman CYR" w:cs="Times New Roman CYR"/>
          <w:lang w:eastAsia="zh-CN"/>
        </w:rPr>
        <w:t>здійснюється за адресами</w:t>
      </w:r>
      <w:r>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Городищанська, 58</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Княгині Ольги, 41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- 19210,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 с. Скибин, вул. Героїв Небесної Сотні, 72</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- 19214,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lang w:eastAsia="zh-CN"/>
        </w:rPr>
        <w:t>с.Тетерівка, вул. Незалежності, 3</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- 19243,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с. Бузівка, </w:t>
      </w:r>
      <w:r w:rsidRPr="00631220">
        <w:rPr>
          <w:rFonts w:ascii="Times New Roman CYR" w:eastAsia="Times New Roman" w:hAnsi="Times New Roman CYR" w:cs="Times New Roman CYR"/>
          <w:lang w:eastAsia="zh-CN"/>
        </w:rPr>
        <w:t>вул. Свободи, 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- 19253, </w:t>
      </w:r>
      <w:r w:rsidRPr="00631220">
        <w:rPr>
          <w:rFonts w:ascii="Times New Roman CYR" w:eastAsia="Times New Roman" w:hAnsi="Times New Roman CYR" w:cs="Times New Roman CYR" w:hint="eastAsia"/>
          <w:lang w:val="uk-UA" w:eastAsia="zh-CN"/>
        </w:rPr>
        <w:t>Черкаська</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обл</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Уманський</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район</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с</w:t>
      </w:r>
      <w:r w:rsidRPr="00631220">
        <w:rPr>
          <w:rFonts w:ascii="Times New Roman CYR" w:eastAsia="Times New Roman" w:hAnsi="Times New Roman CYR" w:cs="Times New Roman CYR"/>
          <w:lang w:val="uk-UA" w:eastAsia="zh-CN"/>
        </w:rPr>
        <w:t xml:space="preserve">. Соколівка, </w:t>
      </w:r>
      <w:r w:rsidRPr="00631220">
        <w:rPr>
          <w:rFonts w:ascii="Times New Roman CYR" w:eastAsia="Times New Roman" w:hAnsi="Times New Roman CYR" w:cs="Times New Roman CYR"/>
          <w:lang w:eastAsia="zh-CN"/>
        </w:rPr>
        <w:t>вул. Шкільна, 10</w:t>
      </w:r>
      <w:r w:rsidRPr="00631220">
        <w:rPr>
          <w:rFonts w:ascii="Times New Roman CYR" w:eastAsia="Times New Roman" w:hAnsi="Times New Roman CYR" w:cs="Times New Roman CYR"/>
          <w:lang w:val="uk-UA"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004977E2">
        <w:rPr>
          <w:rFonts w:ascii="Times New Roman" w:eastAsia="Arial" w:hAnsi="Times New Roman"/>
          <w:lang w:eastAsia="ru-RU"/>
        </w:rPr>
        <w:t>штраф у розмірі 1</w:t>
      </w:r>
      <w:r w:rsidRPr="005D4395">
        <w:rPr>
          <w:rFonts w:ascii="Times New Roman" w:eastAsia="Arial" w:hAnsi="Times New Roman"/>
          <w:lang w:eastAsia="ru-RU"/>
        </w:rPr>
        <w:t xml:space="preserve">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2023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5" w:name="n1776"/>
      <w:bookmarkEnd w:id="5"/>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Pr="00A758B6" w:rsidRDefault="00A758B6" w:rsidP="00A758B6">
      <w:pPr>
        <w:spacing w:after="0" w:line="240" w:lineRule="auto"/>
        <w:ind w:firstLine="709"/>
        <w:rPr>
          <w:rFonts w:ascii="Times New Roman" w:eastAsia="Times New Roman" w:hAnsi="Times New Roman"/>
          <w:b/>
          <w:lang w:eastAsia="ru-RU"/>
        </w:rPr>
      </w:pPr>
      <w:proofErr w:type="gramStart"/>
      <w:r w:rsidRPr="00A758B6">
        <w:rPr>
          <w:rFonts w:ascii="Times New Roman" w:hAnsi="Times New Roman"/>
          <w:lang w:eastAsia="uk-UA"/>
        </w:rPr>
        <w:t>Додаток  №</w:t>
      </w:r>
      <w:proofErr w:type="gramEnd"/>
      <w:r w:rsidRPr="00A758B6">
        <w:rPr>
          <w:rFonts w:ascii="Times New Roman" w:hAnsi="Times New Roman"/>
          <w:lang w:eastAsia="uk-UA"/>
        </w:rPr>
        <w:t xml:space="preserve"> 2: Порядок змін умов договору.</w:t>
      </w: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Pr="005D4395" w:rsidRDefault="005D4395" w:rsidP="005D4395">
      <w:pPr>
        <w:spacing w:after="0" w:line="240" w:lineRule="auto"/>
        <w:ind w:firstLine="709"/>
        <w:rPr>
          <w:rFonts w:ascii="Times New Roman" w:eastAsia="Arial" w:hAnsi="Times New Roman"/>
          <w:bCs/>
          <w:color w:val="00000A"/>
          <w:kern w:val="2"/>
          <w:lang w:val="uk-UA" w:eastAsia="uk-UA"/>
        </w:rPr>
      </w:pPr>
      <w:r w:rsidRPr="005D4395">
        <w:rPr>
          <w:rFonts w:ascii="Times New Roman" w:eastAsia="Arial" w:hAnsi="Times New Roman"/>
          <w:bCs/>
          <w:lang w:eastAsia="uk-UA"/>
        </w:rPr>
        <w:t xml:space="preserve"> </w:t>
      </w: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_________2023</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4977E2" w:rsidRPr="004977E2" w:rsidRDefault="004977E2"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A4A52"/>
    <w:multiLevelType w:val="multilevel"/>
    <w:tmpl w:val="F86A8012"/>
    <w:lvl w:ilvl="0">
      <w:start w:val="1"/>
      <w:numFmt w:val="decimal"/>
      <w:lvlText w:val="%1."/>
      <w:lvlJc w:val="left"/>
      <w:pPr>
        <w:ind w:left="596" w:hanging="360"/>
      </w:pPr>
      <w:rPr>
        <w:rFonts w:ascii="Times New Roman" w:eastAsia="Times New Roman" w:hAnsi="Times New Roman" w:cs="Times New Roman"/>
        <w:color w:val="auto"/>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D3F340E"/>
    <w:multiLevelType w:val="hybridMultilevel"/>
    <w:tmpl w:val="9DE00F3C"/>
    <w:lvl w:ilvl="0" w:tplc="CD5E114A">
      <w:start w:val="1"/>
      <w:numFmt w:val="decimal"/>
      <w:lvlText w:val="%1."/>
      <w:lvlJc w:val="left"/>
      <w:pPr>
        <w:ind w:left="417" w:hanging="360"/>
      </w:pPr>
      <w:rPr>
        <w:rFonts w:hint="default"/>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0">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2">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27"/>
  </w:num>
  <w:num w:numId="5">
    <w:abstractNumId w:val="9"/>
  </w:num>
  <w:num w:numId="6">
    <w:abstractNumId w:val="23"/>
  </w:num>
  <w:num w:numId="7">
    <w:abstractNumId w:val="18"/>
  </w:num>
  <w:num w:numId="8">
    <w:abstractNumId w:val="22"/>
  </w:num>
  <w:num w:numId="9">
    <w:abstractNumId w:val="24"/>
  </w:num>
  <w:num w:numId="10">
    <w:abstractNumId w:val="15"/>
  </w:num>
  <w:num w:numId="11">
    <w:abstractNumId w:val="10"/>
  </w:num>
  <w:num w:numId="12">
    <w:abstractNumId w:val="30"/>
  </w:num>
  <w:num w:numId="13">
    <w:abstractNumId w:val="7"/>
  </w:num>
  <w:num w:numId="14">
    <w:abstractNumId w:val="16"/>
  </w:num>
  <w:num w:numId="15">
    <w:abstractNumId w:val="26"/>
  </w:num>
  <w:num w:numId="16">
    <w:abstractNumId w:val="14"/>
  </w:num>
  <w:num w:numId="17">
    <w:abstractNumId w:val="2"/>
  </w:num>
  <w:num w:numId="18">
    <w:abstractNumId w:val="6"/>
  </w:num>
  <w:num w:numId="19">
    <w:abstractNumId w:val="13"/>
  </w:num>
  <w:num w:numId="20">
    <w:abstractNumId w:val="3"/>
  </w:num>
  <w:num w:numId="21">
    <w:abstractNumId w:val="31"/>
  </w:num>
  <w:num w:numId="22">
    <w:abstractNumId w:val="1"/>
  </w:num>
  <w:num w:numId="23">
    <w:abstractNumId w:val="4"/>
  </w:num>
  <w:num w:numId="24">
    <w:abstractNumId w:val="5"/>
  </w:num>
  <w:num w:numId="25">
    <w:abstractNumId w:val="29"/>
  </w:num>
  <w:num w:numId="26">
    <w:abstractNumId w:val="25"/>
  </w:num>
  <w:num w:numId="27">
    <w:abstractNumId w:val="32"/>
  </w:num>
  <w:num w:numId="28">
    <w:abstractNumId w:val="2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08E4"/>
    <w:rsid w:val="003C51FF"/>
    <w:rsid w:val="003C6EB6"/>
    <w:rsid w:val="00405C7E"/>
    <w:rsid w:val="004145D3"/>
    <w:rsid w:val="00427DE2"/>
    <w:rsid w:val="00431AFE"/>
    <w:rsid w:val="004411EC"/>
    <w:rsid w:val="00452D1B"/>
    <w:rsid w:val="004572CC"/>
    <w:rsid w:val="00492F70"/>
    <w:rsid w:val="004977E2"/>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4093"/>
    <w:rsid w:val="005F4AC8"/>
    <w:rsid w:val="005F6844"/>
    <w:rsid w:val="00601FFA"/>
    <w:rsid w:val="006043CB"/>
    <w:rsid w:val="00621D5A"/>
    <w:rsid w:val="00624182"/>
    <w:rsid w:val="00631220"/>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334DF"/>
    <w:rsid w:val="00E51BB9"/>
    <w:rsid w:val="00E53196"/>
    <w:rsid w:val="00E55C9E"/>
    <w:rsid w:val="00E56508"/>
    <w:rsid w:val="00E65A65"/>
    <w:rsid w:val="00E743A1"/>
    <w:rsid w:val="00E846A6"/>
    <w:rsid w:val="00E8567F"/>
    <w:rsid w:val="00E9177B"/>
    <w:rsid w:val="00E94849"/>
    <w:rsid w:val="00E96775"/>
    <w:rsid w:val="00EA2F86"/>
    <w:rsid w:val="00EB46E9"/>
    <w:rsid w:val="00EF5890"/>
    <w:rsid w:val="00F120B8"/>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E88A-C7B1-4499-833F-BCB3CB43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52</Pages>
  <Words>18795</Words>
  <Characters>107136</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Додаток №4</vt:lpstr>
      <vt:lpstr>до тендерної документації</vt:lpstr>
    </vt:vector>
  </TitlesOfParts>
  <Company>RePack by SPecialiST</Company>
  <LinksUpToDate>false</LinksUpToDate>
  <CharactersWithSpaces>125680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dcterms:created xsi:type="dcterms:W3CDTF">2023-02-17T08:57:00Z</dcterms:created>
  <dcterms:modified xsi:type="dcterms:W3CDTF">2023-04-05T11:00:00Z</dcterms:modified>
</cp:coreProperties>
</file>