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67" w:rsidRPr="00B3055F" w:rsidRDefault="00B3055F" w:rsidP="00B3055F">
      <w:pPr>
        <w:spacing w:after="0" w:line="240" w:lineRule="auto"/>
        <w:jc w:val="right"/>
        <w:rPr>
          <w:rFonts w:ascii="Times New Roman" w:hAnsi="Times New Roman" w:cs="Times New Roman"/>
          <w:i/>
          <w:sz w:val="28"/>
        </w:rPr>
      </w:pPr>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0C47E3" w:rsidRDefault="000C47E3" w:rsidP="000C47E3">
      <w:pPr>
        <w:spacing w:before="240"/>
        <w:ind w:firstLine="720"/>
        <w:jc w:val="both"/>
        <w:rPr>
          <w:rFonts w:ascii="Times New Roman" w:hAnsi="Times New Roman" w:cs="Times New Roman"/>
          <w:i/>
          <w:color w:val="000000"/>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22E7" w:rsidRPr="00CB6135" w:rsidRDefault="00F222E7" w:rsidP="00F222E7">
      <w:pPr>
        <w:pStyle w:val="a5"/>
        <w:widowControl w:val="0"/>
        <w:numPr>
          <w:ilvl w:val="0"/>
          <w:numId w:val="6"/>
        </w:numPr>
        <w:tabs>
          <w:tab w:val="left" w:pos="1080"/>
        </w:tabs>
        <w:spacing w:after="0" w:line="240" w:lineRule="auto"/>
        <w:ind w:left="502"/>
        <w:jc w:val="both"/>
        <w:rPr>
          <w:rFonts w:ascii="Times New Roman" w:hAnsi="Times New Roman"/>
          <w:sz w:val="24"/>
          <w:szCs w:val="24"/>
          <w:lang w:eastAsia="ru-RU"/>
        </w:rPr>
      </w:pPr>
      <w:r>
        <w:rPr>
          <w:rFonts w:ascii="Times New Roman" w:hAnsi="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22E7" w:rsidRPr="007B26F0" w:rsidRDefault="00F222E7" w:rsidP="00F222E7">
      <w:pPr>
        <w:widowControl w:val="0"/>
        <w:tabs>
          <w:tab w:val="left" w:pos="1080"/>
        </w:tabs>
        <w:spacing w:after="0" w:line="240" w:lineRule="auto"/>
        <w:ind w:left="360"/>
        <w:jc w:val="both"/>
        <w:rPr>
          <w:rFonts w:ascii="Times New Roman" w:hAnsi="Times New Roman" w:cs="Times New Roman"/>
          <w:sz w:val="24"/>
          <w:szCs w:val="24"/>
          <w:lang w:eastAsia="ru-RU"/>
        </w:rPr>
      </w:pPr>
    </w:p>
    <w:tbl>
      <w:tblPr>
        <w:tblW w:w="10206" w:type="dxa"/>
        <w:tblInd w:w="98"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877"/>
        <w:gridCol w:w="8329"/>
      </w:tblGrid>
      <w:tr w:rsidR="00F222E7" w:rsidRPr="003B0D50" w:rsidTr="00055840">
        <w:tc>
          <w:tcPr>
            <w:tcW w:w="1877" w:type="dxa"/>
            <w:tcMar>
              <w:left w:w="98" w:type="dxa"/>
            </w:tcMar>
            <w:vAlign w:val="center"/>
          </w:tcPr>
          <w:p w:rsidR="00F222E7" w:rsidRPr="003B0D50" w:rsidRDefault="00F222E7" w:rsidP="0005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F222E7" w:rsidRPr="003B0D50" w:rsidRDefault="00F222E7" w:rsidP="0005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29" w:type="dxa"/>
            <w:tcBorders>
              <w:left w:val="single" w:sz="4" w:space="0" w:color="000001"/>
              <w:right w:val="single" w:sz="4" w:space="0" w:color="000001"/>
            </w:tcBorders>
            <w:tcMar>
              <w:left w:w="98" w:type="dxa"/>
            </w:tcMar>
            <w:vAlign w:val="center"/>
          </w:tcPr>
          <w:p w:rsidR="00F222E7" w:rsidRPr="003B0D50" w:rsidRDefault="00F222E7" w:rsidP="00055840">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F222E7" w:rsidRPr="003B0D50" w:rsidTr="00055840">
        <w:tc>
          <w:tcPr>
            <w:tcW w:w="1877" w:type="dxa"/>
            <w:tcMar>
              <w:left w:w="98" w:type="dxa"/>
            </w:tcMar>
          </w:tcPr>
          <w:p w:rsidR="00F222E7" w:rsidRPr="003B0D50" w:rsidRDefault="00F222E7" w:rsidP="0005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29" w:type="dxa"/>
            <w:tcBorders>
              <w:left w:val="single" w:sz="4" w:space="0" w:color="000001"/>
              <w:right w:val="single" w:sz="4" w:space="0" w:color="000001"/>
            </w:tcBorders>
            <w:tcMar>
              <w:left w:w="98" w:type="dxa"/>
            </w:tcMar>
          </w:tcPr>
          <w:p w:rsidR="00F222E7" w:rsidRPr="003B0D50" w:rsidRDefault="00F222E7" w:rsidP="00055840">
            <w:pPr>
              <w:shd w:val="clear" w:color="auto" w:fill="FFFFFF"/>
              <w:suppressAutoHyphens/>
              <w:spacing w:after="0" w:line="240" w:lineRule="auto"/>
              <w:rPr>
                <w:rFonts w:ascii="Times New Roman"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hAnsi="Times New Roman" w:cs="Times New Roman"/>
                <w:sz w:val="24"/>
                <w:szCs w:val="24"/>
                <w:lang w:eastAsia="ar-SA"/>
              </w:rPr>
              <w:t xml:space="preserve">за підписом </w:t>
            </w:r>
            <w:r>
              <w:rPr>
                <w:rFonts w:ascii="Times New Roman" w:hAnsi="Times New Roman" w:cs="Times New Roman"/>
                <w:sz w:val="24"/>
                <w:szCs w:val="24"/>
                <w:lang w:eastAsia="ar-SA"/>
              </w:rPr>
              <w:t>керівника (уповноваженої особи)</w:t>
            </w:r>
            <w:r w:rsidRPr="003B0D50">
              <w:rPr>
                <w:rFonts w:ascii="Times New Roman"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F222E7" w:rsidRPr="003B0D50" w:rsidTr="00055840">
        <w:tc>
          <w:tcPr>
            <w:tcW w:w="1877" w:type="dxa"/>
            <w:shd w:val="clear" w:color="auto" w:fill="auto"/>
            <w:tcMar>
              <w:left w:w="98" w:type="dxa"/>
            </w:tcMar>
          </w:tcPr>
          <w:p w:rsidR="00F222E7" w:rsidRPr="00BC68B2" w:rsidRDefault="00F222E7" w:rsidP="00055840">
            <w:pPr>
              <w:spacing w:after="0" w:line="240" w:lineRule="auto"/>
              <w:rPr>
                <w:rFonts w:ascii="Times New Roman" w:hAnsi="Times New Roman" w:cs="Times New Roman"/>
                <w:sz w:val="24"/>
                <w:szCs w:val="20"/>
                <w:lang w:eastAsia="ru-RU"/>
              </w:rPr>
            </w:pPr>
            <w:r w:rsidRPr="00BC68B2">
              <w:rPr>
                <w:rFonts w:ascii="Times New Roman" w:hAnsi="Times New Roman" w:cs="Times New Roman"/>
                <w:color w:val="000000"/>
                <w:sz w:val="24"/>
                <w:szCs w:val="20"/>
                <w:lang w:eastAsia="ru-RU"/>
              </w:rPr>
              <w:t>2. Наявність документально підтвердженого досвіду виконання аналогічного (аналогічних) за предметом закупівлі договору (договорів)</w:t>
            </w:r>
          </w:p>
        </w:tc>
        <w:tc>
          <w:tcPr>
            <w:tcW w:w="8329" w:type="dxa"/>
            <w:tcBorders>
              <w:left w:val="single" w:sz="4" w:space="0" w:color="000001"/>
              <w:right w:val="single" w:sz="4" w:space="0" w:color="000001"/>
            </w:tcBorders>
            <w:tcMar>
              <w:left w:w="98" w:type="dxa"/>
            </w:tcMar>
          </w:tcPr>
          <w:p w:rsidR="00F222E7" w:rsidRPr="00576A04" w:rsidRDefault="00F222E7" w:rsidP="0005584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576A04">
              <w:rPr>
                <w:rFonts w:ascii="Times New Roman" w:hAnsi="Times New Roman" w:cs="Times New Roman"/>
                <w:sz w:val="24"/>
                <w:szCs w:val="20"/>
                <w:lang w:eastAsia="ru-RU"/>
              </w:rPr>
              <w:t>.1. На підтвердження досвіду виконання аналогічного (аналогічних) за предметом закупівлі договору (договорів) Учасник має надати:</w:t>
            </w:r>
          </w:p>
          <w:p w:rsidR="00F222E7" w:rsidRPr="00576A04" w:rsidRDefault="00F222E7" w:rsidP="0005584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576A04">
              <w:rPr>
                <w:rFonts w:ascii="Times New Roman" w:hAnsi="Times New Roman" w:cs="Times New Roman"/>
                <w:sz w:val="24"/>
                <w:szCs w:val="20"/>
                <w:lang w:eastAsia="ru-RU"/>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156F3B">
              <w:rPr>
                <w:rFonts w:eastAsia="Calibri" w:cs="Times New Roman"/>
                <w:lang w:eastAsia="en-US"/>
              </w:rPr>
              <w:t xml:space="preserve"> </w:t>
            </w:r>
            <w:r w:rsidRPr="00576A04">
              <w:rPr>
                <w:rFonts w:ascii="Times New Roman" w:hAnsi="Times New Roman" w:cs="Times New Roman"/>
                <w:sz w:val="24"/>
                <w:szCs w:val="20"/>
                <w:lang w:eastAsia="ru-RU"/>
              </w:rPr>
              <w:t xml:space="preserve">Аналогічним вважається договір предметом закупівлі якого є </w:t>
            </w:r>
            <w:r w:rsidR="003354DF">
              <w:rPr>
                <w:rFonts w:ascii="Times New Roman" w:hAnsi="Times New Roman" w:cs="Times New Roman"/>
                <w:sz w:val="24"/>
                <w:szCs w:val="20"/>
                <w:lang w:eastAsia="ru-RU"/>
              </w:rPr>
              <w:t>послуга</w:t>
            </w:r>
            <w:r w:rsidRPr="00576A04">
              <w:rPr>
                <w:rFonts w:ascii="Times New Roman" w:hAnsi="Times New Roman" w:cs="Times New Roman"/>
                <w:sz w:val="24"/>
                <w:szCs w:val="20"/>
                <w:lang w:eastAsia="ru-RU"/>
              </w:rPr>
              <w:t>, як</w:t>
            </w:r>
            <w:r w:rsidR="003354DF">
              <w:rPr>
                <w:rFonts w:ascii="Times New Roman" w:hAnsi="Times New Roman" w:cs="Times New Roman"/>
                <w:sz w:val="24"/>
                <w:szCs w:val="20"/>
                <w:lang w:eastAsia="ru-RU"/>
              </w:rPr>
              <w:t>а</w:t>
            </w:r>
            <w:bookmarkStart w:id="0" w:name="_GoBack"/>
            <w:bookmarkEnd w:id="0"/>
            <w:r w:rsidRPr="00576A04">
              <w:rPr>
                <w:rFonts w:ascii="Times New Roman" w:hAnsi="Times New Roman" w:cs="Times New Roman"/>
                <w:sz w:val="24"/>
                <w:szCs w:val="20"/>
                <w:lang w:eastAsia="ru-RU"/>
              </w:rPr>
              <w:t xml:space="preserve"> відповідає коду </w:t>
            </w:r>
            <w:r w:rsidRPr="00BC68B2">
              <w:rPr>
                <w:rFonts w:ascii="Times New Roman" w:hAnsi="Times New Roman" w:cs="Times New Roman"/>
                <w:sz w:val="24"/>
                <w:szCs w:val="20"/>
                <w:lang w:eastAsia="ru-RU"/>
              </w:rPr>
              <w:t xml:space="preserve">CPV за ДК 021: 77210000-5  «Лісозаготівельні послуги»  </w:t>
            </w:r>
            <w:r w:rsidRPr="00576A04">
              <w:rPr>
                <w:rFonts w:ascii="Times New Roman" w:hAnsi="Times New Roman" w:cs="Times New Roman"/>
                <w:sz w:val="24"/>
                <w:szCs w:val="20"/>
                <w:lang w:eastAsia="ru-RU"/>
              </w:rPr>
              <w:t>«Єдиний закупівельний словник».</w:t>
            </w:r>
          </w:p>
          <w:p w:rsidR="00F222E7" w:rsidRPr="00576A04" w:rsidRDefault="00F222E7" w:rsidP="0005584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576A04">
              <w:rPr>
                <w:rFonts w:ascii="Times New Roman" w:hAnsi="Times New Roman" w:cs="Times New Roman"/>
                <w:sz w:val="24"/>
                <w:szCs w:val="20"/>
                <w:lang w:eastAsia="ru-RU"/>
              </w:rPr>
              <w:t>.1.2. не менше 1 копії договору, зазначеного в довідці в повному обсязі, із специфікацією, всіма додатками, накладними тощо.</w:t>
            </w:r>
          </w:p>
          <w:p w:rsidR="00F222E7" w:rsidRPr="00576A04" w:rsidRDefault="00F222E7" w:rsidP="00055840">
            <w:pPr>
              <w:spacing w:after="0" w:line="240" w:lineRule="auto"/>
              <w:jc w:val="both"/>
              <w:rPr>
                <w:rFonts w:ascii="Times New Roman" w:hAnsi="Times New Roman" w:cs="Times New Roman"/>
                <w:sz w:val="24"/>
                <w:szCs w:val="20"/>
                <w:highlight w:val="white"/>
                <w:lang w:eastAsia="ru-RU"/>
              </w:rPr>
            </w:pPr>
            <w:r>
              <w:rPr>
                <w:rFonts w:ascii="Times New Roman" w:hAnsi="Times New Roman" w:cs="Times New Roman"/>
                <w:sz w:val="24"/>
                <w:szCs w:val="20"/>
                <w:lang w:eastAsia="ru-RU"/>
              </w:rPr>
              <w:t>2</w:t>
            </w:r>
            <w:r w:rsidRPr="00576A04">
              <w:rPr>
                <w:rFonts w:ascii="Times New Roman" w:hAnsi="Times New Roman" w:cs="Times New Roman"/>
                <w:sz w:val="24"/>
                <w:szCs w:val="20"/>
                <w:lang w:eastAsia="ru-RU"/>
              </w:rPr>
              <w:t>.1.3. копії/ю документів/а на підтвердження виконання не менше ніж одного договору, заз</w:t>
            </w:r>
            <w:r w:rsidRPr="00576A04">
              <w:rPr>
                <w:rFonts w:ascii="Times New Roman" w:hAnsi="Times New Roman" w:cs="Times New Roman"/>
                <w:sz w:val="24"/>
                <w:szCs w:val="20"/>
                <w:highlight w:val="white"/>
                <w:lang w:eastAsia="ru-RU"/>
              </w:rPr>
              <w:t>наченого в наданій Учасником довідці. </w:t>
            </w:r>
          </w:p>
          <w:p w:rsidR="00F222E7" w:rsidRPr="00576A04" w:rsidRDefault="00F222E7" w:rsidP="00055840">
            <w:pPr>
              <w:spacing w:after="0" w:line="240" w:lineRule="auto"/>
              <w:jc w:val="both"/>
              <w:rPr>
                <w:rFonts w:ascii="Times New Roman" w:hAnsi="Times New Roman" w:cs="Times New Roman"/>
                <w:sz w:val="24"/>
                <w:szCs w:val="20"/>
                <w:highlight w:val="white"/>
                <w:lang w:eastAsia="ru-RU"/>
              </w:rPr>
            </w:pPr>
            <w:r>
              <w:rPr>
                <w:rFonts w:ascii="Times New Roman" w:hAnsi="Times New Roman" w:cs="Times New Roman"/>
                <w:sz w:val="24"/>
                <w:szCs w:val="20"/>
                <w:lang w:eastAsia="ru-RU"/>
              </w:rPr>
              <w:t>2</w:t>
            </w:r>
            <w:r w:rsidRPr="00576A04">
              <w:rPr>
                <w:rFonts w:ascii="Times New Roman" w:hAnsi="Times New Roman" w:cs="Times New Roman"/>
                <w:sz w:val="24"/>
                <w:szCs w:val="20"/>
                <w:lang w:eastAsia="ru-RU"/>
              </w:rPr>
              <w:t>.1.4.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F222E7" w:rsidRPr="00576A04" w:rsidRDefault="00F222E7" w:rsidP="00055840">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i/>
                <w:sz w:val="24"/>
                <w:szCs w:val="20"/>
                <w:lang w:eastAsia="ru-RU"/>
              </w:rPr>
              <w:t>частково виконаний  договір, дія якого не закінчена.</w:t>
            </w:r>
          </w:p>
        </w:tc>
      </w:tr>
    </w:tbl>
    <w:p w:rsidR="00F222E7" w:rsidRPr="000C47E3" w:rsidRDefault="00F222E7" w:rsidP="000C47E3">
      <w:pPr>
        <w:spacing w:before="240"/>
        <w:ind w:firstLine="720"/>
        <w:jc w:val="both"/>
        <w:rPr>
          <w:rFonts w:ascii="Times New Roman" w:hAnsi="Times New Roman" w:cs="Times New Roman"/>
        </w:rPr>
      </w:pPr>
    </w:p>
    <w:p w:rsidR="000C47E3" w:rsidRPr="000C47E3" w:rsidRDefault="00031442"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C47E3" w:rsidRPr="000C47E3">
        <w:rPr>
          <w:rFonts w:ascii="Times New Roman" w:hAnsi="Times New Roman" w:cs="Times New Roman"/>
          <w:b/>
          <w:color w:val="000000"/>
          <w:sz w:val="24"/>
          <w:szCs w:val="24"/>
        </w:rPr>
        <w:t>. Перелік  документів, що підтверджують відсутність підстав для відмови УЧАСНИКУ в участі у процедурі закупівлі, визначених у пункті 47 Особливостей.</w:t>
      </w: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w:t>
      </w:r>
      <w:r w:rsidRPr="000C47E3">
        <w:rPr>
          <w:rFonts w:ascii="Times New Roman" w:hAnsi="Times New Roman"/>
          <w:sz w:val="24"/>
          <w:szCs w:val="24"/>
        </w:rPr>
        <w:lastRenderedPageBreak/>
        <w:t>декларування відсутності таких підстав в електронній системі закупівель під час подання тендерної пропозиції.</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567"/>
        <w:jc w:val="both"/>
        <w:rPr>
          <w:rFonts w:ascii="Times New Roman" w:hAnsi="Times New Roman"/>
          <w:sz w:val="24"/>
          <w:szCs w:val="24"/>
        </w:rPr>
      </w:pPr>
      <w:r w:rsidRPr="000C47E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r w:rsidRPr="000C47E3">
        <w:rPr>
          <w:rFonts w:ascii="Times New Roman" w:hAnsi="Times New Roman" w:cs="Times New Roman"/>
          <w:sz w:val="24"/>
          <w:szCs w:val="24"/>
        </w:rPr>
        <w:t xml:space="preserve">Учасник  повинен надати </w:t>
      </w:r>
      <w:r w:rsidRPr="000C47E3">
        <w:rPr>
          <w:rFonts w:ascii="Times New Roman" w:hAnsi="Times New Roman" w:cs="Times New Roman"/>
          <w:b/>
          <w:sz w:val="24"/>
          <w:szCs w:val="24"/>
        </w:rPr>
        <w:t>довідку у довільній формі</w:t>
      </w:r>
      <w:r w:rsidRPr="000C47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7E3" w:rsidRPr="000C47E3" w:rsidRDefault="000C47E3" w:rsidP="000C47E3">
      <w:pPr>
        <w:shd w:val="clear" w:color="auto" w:fill="FFFFFF"/>
        <w:spacing w:after="0" w:line="240" w:lineRule="auto"/>
        <w:jc w:val="both"/>
        <w:rPr>
          <w:rFonts w:ascii="Times New Roman" w:hAnsi="Times New Roman" w:cs="Times New Roman"/>
          <w:sz w:val="24"/>
          <w:szCs w:val="24"/>
          <w:lang w:eastAsia="ru-RU"/>
        </w:rPr>
      </w:pPr>
    </w:p>
    <w:p w:rsidR="000C47E3" w:rsidRPr="000C47E3" w:rsidRDefault="00031442"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0C47E3" w:rsidRPr="000C47E3">
        <w:rPr>
          <w:rFonts w:ascii="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визначених у пункті 47 Особливостей.</w:t>
      </w:r>
    </w:p>
    <w:p w:rsidR="000C47E3" w:rsidRPr="000C47E3" w:rsidRDefault="000C47E3" w:rsidP="000C47E3">
      <w:pPr>
        <w:spacing w:line="240" w:lineRule="auto"/>
        <w:ind w:firstLine="567"/>
        <w:jc w:val="both"/>
        <w:rPr>
          <w:rFonts w:ascii="Times New Roman" w:hAnsi="Times New Roman" w:cs="Times New Roman"/>
          <w:sz w:val="24"/>
          <w:szCs w:val="24"/>
          <w:lang w:val="ru-RU"/>
        </w:rPr>
      </w:pPr>
    </w:p>
    <w:p w:rsidR="000C47E3" w:rsidRPr="000C47E3"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history="1">
        <w:r w:rsidRPr="000C47E3">
          <w:rPr>
            <w:rFonts w:ascii="Times New Roman" w:hAnsi="Times New Roman" w:cs="Times New Roman"/>
            <w:color w:val="000000"/>
            <w:sz w:val="24"/>
            <w:szCs w:val="24"/>
            <w:lang w:eastAsia="ru-RU"/>
          </w:rPr>
          <w:t>підпунктах 3</w:t>
        </w:r>
      </w:hyperlink>
      <w:r w:rsidRPr="000C47E3">
        <w:rPr>
          <w:rFonts w:ascii="Times New Roman" w:hAnsi="Times New Roman" w:cs="Times New Roman"/>
          <w:color w:val="000000"/>
          <w:sz w:val="24"/>
          <w:szCs w:val="24"/>
          <w:lang w:eastAsia="ru-RU"/>
        </w:rPr>
        <w:t>, </w:t>
      </w:r>
      <w:hyperlink r:id="rId6" w:anchor="n620" w:history="1">
        <w:r w:rsidRPr="000C47E3">
          <w:rPr>
            <w:rFonts w:ascii="Times New Roman" w:hAnsi="Times New Roman" w:cs="Times New Roman"/>
            <w:color w:val="000000"/>
            <w:sz w:val="24"/>
            <w:szCs w:val="24"/>
            <w:lang w:eastAsia="ru-RU"/>
          </w:rPr>
          <w:t>5</w:t>
        </w:r>
      </w:hyperlink>
      <w:r w:rsidRPr="000C47E3">
        <w:rPr>
          <w:rFonts w:ascii="Times New Roman" w:hAnsi="Times New Roman" w:cs="Times New Roman"/>
          <w:color w:val="000000"/>
          <w:sz w:val="24"/>
          <w:szCs w:val="24"/>
          <w:lang w:eastAsia="ru-RU"/>
        </w:rPr>
        <w:t>, </w:t>
      </w:r>
      <w:hyperlink r:id="rId7" w:anchor="n621" w:history="1">
        <w:r w:rsidRPr="000C47E3">
          <w:rPr>
            <w:rFonts w:ascii="Times New Roman" w:hAnsi="Times New Roman" w:cs="Times New Roman"/>
            <w:color w:val="000000"/>
            <w:sz w:val="24"/>
            <w:szCs w:val="24"/>
            <w:lang w:eastAsia="ru-RU"/>
          </w:rPr>
          <w:t>6</w:t>
        </w:r>
      </w:hyperlink>
      <w:r w:rsidRPr="000C47E3">
        <w:rPr>
          <w:rFonts w:ascii="Times New Roman" w:hAnsi="Times New Roman" w:cs="Times New Roman"/>
          <w:color w:val="000000"/>
          <w:sz w:val="24"/>
          <w:szCs w:val="24"/>
          <w:lang w:eastAsia="ru-RU"/>
        </w:rPr>
        <w:t> і </w:t>
      </w:r>
      <w:hyperlink r:id="rId8" w:anchor="n627" w:history="1">
        <w:r w:rsidRPr="000C47E3">
          <w:rPr>
            <w:rFonts w:ascii="Times New Roman" w:hAnsi="Times New Roman" w:cs="Times New Roman"/>
            <w:color w:val="000000"/>
            <w:sz w:val="24"/>
            <w:szCs w:val="24"/>
            <w:lang w:eastAsia="ru-RU"/>
          </w:rPr>
          <w:t>12</w:t>
        </w:r>
      </w:hyperlink>
      <w:r w:rsidRPr="000C47E3">
        <w:rPr>
          <w:rFonts w:ascii="Times New Roman" w:hAnsi="Times New Roman" w:cs="Times New Roman"/>
          <w:color w:val="000000"/>
          <w:sz w:val="24"/>
          <w:szCs w:val="24"/>
          <w:lang w:eastAsia="ru-RU"/>
        </w:rPr>
        <w:t> та в </w:t>
      </w:r>
      <w:hyperlink r:id="rId9" w:anchor="n628" w:history="1">
        <w:r w:rsidRPr="000C47E3">
          <w:rPr>
            <w:rFonts w:ascii="Times New Roman" w:hAnsi="Times New Roman" w:cs="Times New Roman"/>
            <w:color w:val="000000"/>
            <w:sz w:val="24"/>
            <w:szCs w:val="24"/>
            <w:lang w:eastAsia="ru-RU"/>
          </w:rPr>
          <w:t>абзаці чотирнадцятому</w:t>
        </w:r>
      </w:hyperlink>
      <w:r w:rsidRPr="000C47E3">
        <w:rPr>
          <w:rFonts w:ascii="Times New Roman" w:hAnsi="Times New Roman" w:cs="Times New Roman"/>
          <w:color w:val="000000"/>
          <w:sz w:val="24"/>
          <w:szCs w:val="24"/>
          <w:lang w:eastAsia="ru-RU"/>
        </w:rPr>
        <w:t>  пункту 47 Особливостей.</w:t>
      </w:r>
    </w:p>
    <w:p w:rsidR="000C47E3" w:rsidRPr="000C47E3" w:rsidRDefault="000C47E3" w:rsidP="000C47E3">
      <w:pPr>
        <w:spacing w:after="0" w:line="240" w:lineRule="auto"/>
        <w:jc w:val="both"/>
        <w:rPr>
          <w:rFonts w:ascii="Times New Roman" w:hAnsi="Times New Roman" w:cs="Times New Roman"/>
          <w:sz w:val="24"/>
          <w:szCs w:val="24"/>
        </w:rPr>
      </w:pPr>
      <w:r w:rsidRPr="000C47E3">
        <w:rPr>
          <w:rFonts w:ascii="Times New Roman" w:hAnsi="Times New Roman" w:cs="Times New Roman"/>
          <w:b/>
          <w:color w:val="000000"/>
          <w:sz w:val="24"/>
          <w:szCs w:val="24"/>
        </w:rPr>
        <w:t>Документи, які надаються ПЕРЕМОЖЦЕМ (фізичною особою чи фізичною особою</w:t>
      </w:r>
      <w:r w:rsidRPr="000C47E3">
        <w:rPr>
          <w:rFonts w:ascii="Times New Roman" w:hAnsi="Times New Roman" w:cs="Times New Roman"/>
          <w:b/>
          <w:sz w:val="24"/>
          <w:szCs w:val="24"/>
        </w:rPr>
        <w:t xml:space="preserve"> - </w:t>
      </w:r>
      <w:r w:rsidRPr="000C47E3">
        <w:rPr>
          <w:rFonts w:ascii="Times New Roman" w:hAnsi="Times New Roman" w:cs="Times New Roman"/>
          <w:b/>
          <w:color w:val="000000"/>
          <w:sz w:val="24"/>
          <w:szCs w:val="24"/>
        </w:rPr>
        <w:t>підприємцем):</w:t>
      </w:r>
    </w:p>
    <w:tbl>
      <w:tblPr>
        <w:tblW w:w="10335" w:type="dxa"/>
        <w:tblInd w:w="-42" w:type="dxa"/>
        <w:tblLayout w:type="fixed"/>
        <w:tblLook w:val="04A0" w:firstRow="1" w:lastRow="0" w:firstColumn="1" w:lastColumn="0" w:noHBand="0" w:noVBand="1"/>
      </w:tblPr>
      <w:tblGrid>
        <w:gridCol w:w="645"/>
        <w:gridCol w:w="4717"/>
        <w:gridCol w:w="4973"/>
      </w:tblGrid>
      <w:tr w:rsidR="000C47E3" w:rsidRPr="000C47E3" w:rsidTr="000C47E3">
        <w:trPr>
          <w:trHeight w:val="12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w:t>
            </w:r>
          </w:p>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з/п</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Вимоги згідно пункту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3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0"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left="-39" w:right="140" w:hanging="61"/>
              <w:jc w:val="both"/>
              <w:rPr>
                <w:rFonts w:ascii="Times New Roman" w:hAnsi="Times New Roman" w:cs="Times New Roman"/>
                <w:color w:val="000000"/>
                <w:sz w:val="24"/>
                <w:szCs w:val="24"/>
                <w:lang w:eastAsia="ru-RU"/>
              </w:rPr>
            </w:pPr>
            <w:r w:rsidRPr="000C47E3">
              <w:rPr>
                <w:rFonts w:ascii="Times New Roman" w:hAnsi="Times New Roman" w:cs="Times New Roman"/>
                <w:sz w:val="24"/>
                <w:szCs w:val="24"/>
              </w:rPr>
              <w:lastRenderedPageBreak/>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2</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5 пункт 47 Особливостей)</w:t>
            </w:r>
          </w:p>
        </w:tc>
        <w:tc>
          <w:tcPr>
            <w:tcW w:w="49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47E3" w:rsidRPr="000C47E3" w:rsidRDefault="000C47E3" w:rsidP="000C47E3">
            <w:pPr>
              <w:ind w:left="-39" w:hanging="39"/>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1"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12 пункт 47 Особливостей)</w:t>
            </w:r>
          </w:p>
        </w:tc>
        <w:tc>
          <w:tcPr>
            <w:tcW w:w="497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sz w:val="24"/>
                <w:szCs w:val="24"/>
              </w:rPr>
            </w:pPr>
          </w:p>
        </w:tc>
      </w:tr>
      <w:tr w:rsidR="000C47E3" w:rsidRPr="000C47E3" w:rsidTr="000C47E3">
        <w:trPr>
          <w:trHeight w:val="337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5</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(абзац 14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left="-39" w:right="140" w:hanging="39"/>
              <w:jc w:val="both"/>
              <w:rPr>
                <w:rFonts w:ascii="Times New Roman" w:hAnsi="Times New Roman" w:cs="Times New Roman"/>
                <w:color w:val="000000"/>
                <w:sz w:val="24"/>
                <w:szCs w:val="24"/>
                <w:lang w:eastAsia="ru-RU"/>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w:t>
            </w:r>
            <w:r w:rsidRPr="000C47E3">
              <w:rPr>
                <w:rFonts w:ascii="Times New Roman" w:hAnsi="Times New Roman" w:cs="Times New Roman"/>
                <w:iCs/>
                <w:color w:val="000000"/>
                <w:sz w:val="24"/>
                <w:szCs w:val="24"/>
              </w:rPr>
              <w:lastRenderedPageBreak/>
              <w:t>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rPr>
          <w:rFonts w:ascii="Times New Roman" w:hAnsi="Times New Roman" w:cs="Times New Roman"/>
          <w:b/>
          <w:color w:val="000000"/>
          <w:sz w:val="24"/>
          <w:szCs w:val="24"/>
        </w:rPr>
      </w:pPr>
    </w:p>
    <w:p w:rsidR="000C47E3" w:rsidRPr="000C47E3" w:rsidRDefault="000C47E3" w:rsidP="000C47E3">
      <w:pPr>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Документи, які надаються  ПЕРЕМОЖЦЕМ (юридичною особою):</w:t>
      </w:r>
    </w:p>
    <w:tbl>
      <w:tblPr>
        <w:tblW w:w="10350" w:type="dxa"/>
        <w:tblInd w:w="-42" w:type="dxa"/>
        <w:tblLayout w:type="fixed"/>
        <w:tblLook w:val="04A0" w:firstRow="1" w:lastRow="0" w:firstColumn="1" w:lastColumn="0" w:noHBand="0" w:noVBand="1"/>
      </w:tblPr>
      <w:tblGrid>
        <w:gridCol w:w="690"/>
        <w:gridCol w:w="4846"/>
        <w:gridCol w:w="4814"/>
      </w:tblGrid>
      <w:tr w:rsidR="000C47E3" w:rsidRPr="000C47E3" w:rsidTr="000C47E3">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w:t>
            </w:r>
          </w:p>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Вимоги згідно пункту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3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2"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6 пункт 47 Особливостей)</w:t>
            </w:r>
          </w:p>
        </w:tc>
        <w:tc>
          <w:tcPr>
            <w:tcW w:w="481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47E3" w:rsidRPr="000C47E3" w:rsidRDefault="000C47E3" w:rsidP="000C47E3">
            <w:pPr>
              <w:jc w:val="both"/>
              <w:rPr>
                <w:rFonts w:ascii="Times New Roman" w:hAnsi="Times New Roman" w:cs="Times New Roman"/>
                <w:color w:val="000000"/>
                <w:sz w:val="24"/>
                <w:szCs w:val="24"/>
                <w:lang w:eastAsia="ru-RU"/>
              </w:rPr>
            </w:pP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Pr="000C47E3">
              <w:rPr>
                <w:rFonts w:ascii="Times New Roman" w:hAnsi="Times New Roman" w:cs="Times New Roman"/>
                <w:iCs/>
                <w:color w:val="000000"/>
                <w:sz w:val="24"/>
                <w:szCs w:val="24"/>
              </w:rPr>
              <w:t xml:space="preserve">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3"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spacing w:before="2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12 пункт 47 Особливостей)</w:t>
            </w:r>
          </w:p>
        </w:tc>
        <w:tc>
          <w:tcPr>
            <w:tcW w:w="481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iCs/>
                <w:color w:val="000000"/>
                <w:sz w:val="24"/>
                <w:szCs w:val="24"/>
              </w:rPr>
            </w:pPr>
          </w:p>
        </w:tc>
      </w:tr>
      <w:tr w:rsidR="000C47E3" w:rsidRPr="000C47E3" w:rsidTr="000C47E3">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(абзац 14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w:t>
            </w:r>
            <w:r w:rsidRPr="000C47E3">
              <w:rPr>
                <w:rFonts w:ascii="Times New Roman" w:hAnsi="Times New Roman" w:cs="Times New Roman"/>
                <w:iCs/>
                <w:color w:val="000000"/>
                <w:sz w:val="24"/>
                <w:szCs w:val="24"/>
              </w:rPr>
              <w:lastRenderedPageBreak/>
              <w:t>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lastRenderedPageBreak/>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14"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B76" w:rsidRDefault="00FA3B76" w:rsidP="000C47E3">
      <w:pPr>
        <w:spacing w:before="20" w:after="20" w:line="240" w:lineRule="auto"/>
        <w:jc w:val="both"/>
      </w:pP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15:restartNumberingAfterBreak="0">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4"/>
    <w:rsid w:val="00031442"/>
    <w:rsid w:val="00077840"/>
    <w:rsid w:val="000C47E3"/>
    <w:rsid w:val="0012503C"/>
    <w:rsid w:val="00135067"/>
    <w:rsid w:val="00263051"/>
    <w:rsid w:val="00331198"/>
    <w:rsid w:val="003354DF"/>
    <w:rsid w:val="00411D3C"/>
    <w:rsid w:val="00485E0E"/>
    <w:rsid w:val="00576A04"/>
    <w:rsid w:val="006263B9"/>
    <w:rsid w:val="00641F6A"/>
    <w:rsid w:val="007B26F0"/>
    <w:rsid w:val="007D7114"/>
    <w:rsid w:val="0089713D"/>
    <w:rsid w:val="009521E6"/>
    <w:rsid w:val="00952D20"/>
    <w:rsid w:val="009D3BA4"/>
    <w:rsid w:val="00A7739B"/>
    <w:rsid w:val="00B3055F"/>
    <w:rsid w:val="00CB6135"/>
    <w:rsid w:val="00CE6AC3"/>
    <w:rsid w:val="00D017E2"/>
    <w:rsid w:val="00F222E7"/>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EA24"/>
  <w15:docId w15:val="{C6B8CED5-8E85-4D2D-AAFB-2015FF04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19" TargetMode="External"/><Relationship Id="rId13"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zakon.rada.gov.ua/laws/show/1178-2022-&#1087;/ed20230519" TargetMode="External"/><Relationship Id="rId12" Type="http://schemas.openxmlformats.org/officeDocument/2006/relationships/hyperlink" Target="https://corruptinfo.nazk.gov.ua/reference/getpersonalreference/individual%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1087;/ed20230519" TargetMode="External"/><Relationship Id="rId11" Type="http://schemas.openxmlformats.org/officeDocument/2006/relationships/hyperlink" Target="http://vytiah.mvs.gov.ua" TargetMode="External"/><Relationship Id="rId5" Type="http://schemas.openxmlformats.org/officeDocument/2006/relationships/hyperlink" Target="https://zakon.rada.gov.ua/laws/show/1178-2022-&#1087;/ed20230519" TargetMode="External"/><Relationship Id="rId15" Type="http://schemas.openxmlformats.org/officeDocument/2006/relationships/fontTable" Target="fontTable.xml"/><Relationship Id="rId10" Type="http://schemas.openxmlformats.org/officeDocument/2006/relationships/hyperlink" Target="https://corruptinfo.nazk.gov.ua/reference/getpersonalreference/individual%20" TargetMode="External"/><Relationship Id="rId4" Type="http://schemas.openxmlformats.org/officeDocument/2006/relationships/webSettings" Target="webSettings.xml"/><Relationship Id="rId9" Type="http://schemas.openxmlformats.org/officeDocument/2006/relationships/hyperlink" Target="https://zakon.rada.gov.ua/laws/show/1178-2022-&#1087;/ed202305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9101</Words>
  <Characters>5189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2023-03-01T10:22:00Z</cp:lastPrinted>
  <dcterms:created xsi:type="dcterms:W3CDTF">2024-04-11T08:08:00Z</dcterms:created>
  <dcterms:modified xsi:type="dcterms:W3CDTF">2024-04-15T05:49:00Z</dcterms:modified>
</cp:coreProperties>
</file>