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09" w:rsidRPr="00E91485" w:rsidRDefault="00FE6709" w:rsidP="003E5804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FE6709" w:rsidRPr="00E91485" w:rsidRDefault="00FE6709" w:rsidP="003E5804">
      <w:pPr>
        <w:spacing w:after="0" w:line="240" w:lineRule="auto"/>
        <w:ind w:left="288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E91485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E9148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  <w:r w:rsidRPr="00E9148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FE6709" w:rsidRPr="00E91485" w:rsidRDefault="00FE6709" w:rsidP="003E5804">
      <w:pPr>
        <w:spacing w:after="24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Pr="004F2E67" w:rsidRDefault="00FE6709" w:rsidP="003E5804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F2E67">
        <w:rPr>
          <w:rFonts w:ascii="Times New Roman" w:hAnsi="Times New Roman"/>
          <w:b/>
          <w:bCs/>
          <w:sz w:val="28"/>
          <w:szCs w:val="28"/>
          <w:lang w:val="uk-UA" w:eastAsia="ru-RU"/>
        </w:rPr>
        <w:t>Перелік документів, які вимагаються тендерною документацією.</w:t>
      </w:r>
    </w:p>
    <w:p w:rsidR="00FE6709" w:rsidRPr="00E91485" w:rsidRDefault="00FE6709" w:rsidP="004F2E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Таблиця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"/>
        <w:gridCol w:w="9725"/>
      </w:tblGrid>
      <w:tr w:rsidR="00FE6709" w:rsidRPr="00B83113" w:rsidTr="0046722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6709" w:rsidRPr="003E0079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4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9148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</w:t>
            </w:r>
            <w:r w:rsidRPr="001C2F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довідку в довільній формі про особу, що уповноважена підписувати договір про закупівлю у разі перемоги учасника в закупівлі із зазначення посади, прізвища, ім’я та по батькові та переліку повноважень передбачених установчими документами/довіреністю.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E6709" w:rsidRPr="00E91485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Крім того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окументи, що підтверджують повноваження посадової особи щодо підпису документів пропозиції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      </w:r>
            <w:proofErr w:type="spellStart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) уповноваженої (</w:t>
            </w:r>
            <w:proofErr w:type="spellStart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 осіб на право підпису документів пропозиції, договору </w:t>
            </w:r>
            <w:proofErr w:type="spellStart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підряду</w:t>
            </w:r>
            <w:proofErr w:type="spellEnd"/>
            <w:r w:rsidRPr="001C2F4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та актів виконаних робіт).</w:t>
            </w:r>
          </w:p>
        </w:tc>
      </w:tr>
      <w:tr w:rsidR="00FE6709" w:rsidRPr="003E0079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Копія с</w:t>
            </w: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відоцтва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227469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Копія паспорту (для фізичних осіб);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51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4512BA" w:rsidRDefault="00FE6709" w:rsidP="004512BA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12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Копія Статуту, або інший установчий документ завірений учасником;</w:t>
            </w:r>
          </w:p>
        </w:tc>
      </w:tr>
      <w:tr w:rsidR="00FE6709" w:rsidRPr="003E0079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51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4512BA" w:rsidRDefault="00FE6709" w:rsidP="004512BA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12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Копія виписки (свідоцтва) з Єдиного державного реєстру юридичних осіб та фізичних осіб - підприємців, або витяг з Єдиного державного реєстру юридичних осіб та фізичних осіб - підприємців;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51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4512BA" w:rsidRDefault="00FE6709" w:rsidP="004512BA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12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Копія довідки про включення до ЄДРПОУ (для юридичних осіб);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51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4512BA" w:rsidRDefault="00FE6709" w:rsidP="004512BA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12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Копія довідки про взяття на облік платника податку;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9148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FE6709" w:rsidRPr="00E91485" w:rsidRDefault="00FE6709" w:rsidP="004672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48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 w:rsidRPr="00E9148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E9148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990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91485">
              <w:rPr>
                <w:rFonts w:ascii="Times New Roman" w:hAnsi="Times New Roman"/>
                <w:sz w:val="24"/>
                <w:lang w:val="uk-UA"/>
              </w:rPr>
              <w:t xml:space="preserve">Лист-погодження Учасника з умовами Договору </w:t>
            </w:r>
            <w:r w:rsidRPr="00E91485">
              <w:rPr>
                <w:rFonts w:ascii="Times New Roman" w:hAnsi="Times New Roman"/>
                <w:sz w:val="24"/>
                <w:szCs w:val="24"/>
                <w:lang w:val="uk-UA"/>
              </w:rPr>
              <w:t>про закупівлю</w:t>
            </w:r>
            <w:r w:rsidRPr="00E91485">
              <w:rPr>
                <w:rFonts w:ascii="Times New Roman" w:hAnsi="Times New Roman"/>
                <w:sz w:val="24"/>
                <w:lang w:val="uk-UA"/>
              </w:rPr>
              <w:t>, що міститься в Додатку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3</w:t>
            </w:r>
            <w:r w:rsidRPr="00E91485">
              <w:rPr>
                <w:rFonts w:ascii="Times New Roman" w:hAnsi="Times New Roman"/>
                <w:sz w:val="24"/>
                <w:lang w:val="uk-UA"/>
              </w:rPr>
              <w:t xml:space="preserve"> до </w:t>
            </w:r>
            <w:r>
              <w:rPr>
                <w:rFonts w:ascii="Times New Roman" w:hAnsi="Times New Roman"/>
                <w:sz w:val="24"/>
                <w:lang w:val="uk-UA"/>
              </w:rPr>
              <w:t>Тендерної Документації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990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Підписаний Додаток 1 (цінова пропозиція) та Додаток 4 (Погодження з технічними характеристиками)</w:t>
            </w:r>
          </w:p>
        </w:tc>
      </w:tr>
      <w:tr w:rsidR="00FE6709" w:rsidRPr="00B83113" w:rsidTr="006C6FAD">
        <w:trPr>
          <w:trHeight w:val="299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proofErr w:type="spellStart"/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Тел</w:t>
            </w:r>
            <w:proofErr w:type="spellEnd"/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./факс;</w:t>
            </w:r>
          </w:p>
          <w:p w:rsidR="00FE6709" w:rsidRPr="00E91485" w:rsidRDefault="00FE6709" w:rsidP="003E58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E-</w:t>
            </w:r>
            <w:proofErr w:type="spellStart"/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mail</w:t>
            </w:r>
            <w:proofErr w:type="spellEnd"/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;</w:t>
            </w:r>
          </w:p>
          <w:p w:rsidR="00FE6709" w:rsidRPr="00E91485" w:rsidRDefault="00FE6709" w:rsidP="0046722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</w:pPr>
            <w:r w:rsidRPr="00E91485">
              <w:rPr>
                <w:rFonts w:ascii="Times New Roman" w:hAnsi="Times New Roman" w:cs="Arial"/>
                <w:color w:val="000000"/>
                <w:sz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FE6709" w:rsidRPr="003E0079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E91485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227469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Довідка у довільній формі, що містить інформацію про наявність в учасника відповідного обладнання (власного чи орендованого) для виконання умов договору. </w:t>
            </w: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Для підтвердження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наявності орендованого обладнання</w:t>
            </w: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надати завірені копії договорів оренди (договір </w:t>
            </w: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повинен бути чинний на дату подання пропозиції і термін його дії повинен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ути не меншим ніж 31 грудня 2022</w:t>
            </w: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року). </w:t>
            </w:r>
          </w:p>
          <w:p w:rsidR="00FE6709" w:rsidRPr="00E91485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Замовник за власним бажанням може перевірити наявність обладнання та матеріально - </w:t>
            </w:r>
            <w:proofErr w:type="spellStart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технічноі</w:t>
            </w:r>
            <w:proofErr w:type="spellEnd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̈ бази, в разі </w:t>
            </w:r>
            <w:proofErr w:type="spellStart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їх</w:t>
            </w:r>
            <w:proofErr w:type="spellEnd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відсутності пропозиція буде відхилена не залежно від </w:t>
            </w:r>
            <w:proofErr w:type="spellStart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їі</w:t>
            </w:r>
            <w:proofErr w:type="spellEnd"/>
            <w:r w:rsidRPr="0022746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̈ ціни.</w:t>
            </w:r>
          </w:p>
        </w:tc>
      </w:tr>
      <w:tr w:rsidR="00FE6709" w:rsidRPr="003E0079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4672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A9498C" w:rsidRDefault="00FE6709" w:rsidP="00A9498C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Довідка про наявність в штаті підприємства працівників відповідної кваліфікації, які мають необхідні знання та досвід 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DD7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227469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договору: </w:t>
            </w:r>
          </w:p>
          <w:p w:rsidR="00FE6709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 Документально підтверджена інформаційна довідка про укладання аналогічного договору(-</w:t>
            </w:r>
            <w:proofErr w:type="spellStart"/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), разом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 копією такого договору(-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 . </w:t>
            </w: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Надати довідку із зазначенням назви замовника, його поштової адреси, контактного номера телефону, найменуванням об’єкту і його місцезнаходженням, датою укладання договору, сумою договору.</w:t>
            </w:r>
          </w:p>
          <w:p w:rsidR="00FE6709" w:rsidRPr="00227469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листи-відгуки або їх копії від колишніх замовників Учасника закупівлі. </w:t>
            </w:r>
          </w:p>
          <w:p w:rsidR="00FE6709" w:rsidRPr="00227469" w:rsidRDefault="00FE6709" w:rsidP="004512BA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*Аналогічним слід вважати повністю виконаний договір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виготовлення та встановлення металопластикових конструкцій.</w:t>
            </w:r>
            <w:r w:rsidRPr="0022746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6C6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D51602" w:rsidRDefault="00FE6709" w:rsidP="00D51602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Сертифікати (паспорта) якості (оригінал або копія завірена Постачальником) на продукцію відповідно до предмету закупівлі, а саме:</w:t>
            </w:r>
          </w:p>
          <w:p w:rsidR="00FE6709" w:rsidRPr="00D51602" w:rsidRDefault="00FE6709" w:rsidP="00D51602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  <w:t>Сертифікат відповідності металопластикових профілів для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віконних та</w:t>
            </w: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двер</w:t>
            </w: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них конструкцій;</w:t>
            </w:r>
          </w:p>
          <w:p w:rsidR="00FE6709" w:rsidRDefault="00FE6709" w:rsidP="00D51602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Усі сертифікати та протоколи мають бути оприлюднені Учасником через електронну систему </w:t>
            </w:r>
            <w:proofErr w:type="spellStart"/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D5160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пакеті пропозиції.</w:t>
            </w:r>
          </w:p>
          <w:p w:rsidR="00FE6709" w:rsidRDefault="00FE6709" w:rsidP="00227469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6C6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B83113" w:rsidRDefault="00FE6709" w:rsidP="00A765F8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Санітарно-епідеміологічний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профілі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фурнітуру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6709" w:rsidRPr="00B83113" w:rsidTr="006C6FAD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Default="00FE6709" w:rsidP="006C6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709" w:rsidRPr="00B83113" w:rsidRDefault="00FE6709" w:rsidP="00821C43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лист в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ним для продажу товар, а </w:t>
            </w:r>
            <w:proofErr w:type="spellStart"/>
            <w:proofErr w:type="gram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Металопластикові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вікна</w:t>
            </w:r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є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офіційно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ввезені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Україну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або виготовлені</w:t>
            </w:r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придбані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металопластикових конструкцій</w:t>
            </w:r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гарантійному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листі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proofErr w:type="gram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конкретну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товару.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такого документу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виключає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поставку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недобросовісними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завезено на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незаконним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шляхом, та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831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6709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Default="00FE6709" w:rsidP="002A27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Інші вимоги.</w:t>
      </w:r>
    </w:p>
    <w:p w:rsidR="00FE6709" w:rsidRPr="00A765F8" w:rsidRDefault="00FE6709" w:rsidP="002A27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E6709" w:rsidRDefault="00FE6709" w:rsidP="002A27B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гарантія на вироби ( профіль , фурнітура ) не менше 2 років .</w:t>
      </w:r>
    </w:p>
    <w:p w:rsidR="00FE6709" w:rsidRDefault="00FE6709" w:rsidP="002A27B6">
      <w:pPr>
        <w:pStyle w:val="HTML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Гарантійний лист від учасника, Постачальником , всі автотранспортні, експедиційні,   поштові  витрати за рахунок Постачальника</w:t>
      </w:r>
    </w:p>
    <w:p w:rsidR="00FE6709" w:rsidRDefault="00FE6709" w:rsidP="002A27B6">
      <w:pPr>
        <w:pStyle w:val="HTML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Гарантійний лист про наявність сертифікатів відповідності металопластикових профілів для віконних та дверних конструкцій.  </w:t>
      </w:r>
    </w:p>
    <w:p w:rsidR="00FE6709" w:rsidRPr="00A84B6F" w:rsidRDefault="00FE6709" w:rsidP="002A27B6">
      <w:pPr>
        <w:pStyle w:val="a5"/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84B6F">
        <w:rPr>
          <w:rFonts w:ascii="Times New Roman" w:hAnsi="Times New Roman"/>
          <w:sz w:val="24"/>
          <w:szCs w:val="24"/>
          <w:lang w:eastAsia="ru-RU"/>
        </w:rPr>
        <w:t xml:space="preserve">Гарантійний лист (в довільній формі) від учасника процедури закупівлі, у якому має бути зазначено, що товар який запропоновано до поставки буде новим, без механічних пошкоджень, таким, що не був у використанні, буде поставлений у встановлені тендерною документацією строки, та на товар буде надано офіційну гарантію від виробника, строк якої складатиме не менший ніж </w:t>
      </w:r>
      <w:r>
        <w:rPr>
          <w:rFonts w:ascii="Times New Roman" w:hAnsi="Times New Roman"/>
          <w:sz w:val="24"/>
          <w:szCs w:val="24"/>
          <w:lang w:eastAsia="ru-RU"/>
        </w:rPr>
        <w:t>2 роки</w:t>
      </w:r>
      <w:r w:rsidRPr="00A84B6F">
        <w:rPr>
          <w:rFonts w:ascii="Times New Roman" w:hAnsi="Times New Roman"/>
          <w:sz w:val="24"/>
          <w:szCs w:val="24"/>
          <w:lang w:eastAsia="ru-RU"/>
        </w:rPr>
        <w:t xml:space="preserve"> з дня передачі товару (з дня підписання акту введення в експлуатацію та/або підписання акту прийому-передачі, видаткової накладної); товар матиме гарантійні талони, заповнені належним чином продавцем / постачальником та завірені його печаткою за необхідності.</w:t>
      </w:r>
    </w:p>
    <w:p w:rsidR="00FE6709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91485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FE6709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Pr="002A27B6" w:rsidRDefault="00FE6709" w:rsidP="002A27B6">
      <w:pPr>
        <w:tabs>
          <w:tab w:val="left" w:pos="180"/>
        </w:tabs>
        <w:ind w:left="-540" w:right="-25" w:firstLine="540"/>
        <w:jc w:val="center"/>
        <w:rPr>
          <w:rFonts w:ascii="Times New Roman" w:hAnsi="Times New Roman"/>
          <w:b/>
          <w:sz w:val="28"/>
          <w:szCs w:val="28"/>
        </w:rPr>
      </w:pPr>
      <w:r w:rsidRPr="002A27B6">
        <w:rPr>
          <w:rFonts w:ascii="Times New Roman" w:hAnsi="Times New Roman"/>
          <w:b/>
          <w:sz w:val="28"/>
          <w:szCs w:val="28"/>
        </w:rPr>
        <w:lastRenderedPageBreak/>
        <w:t xml:space="preserve">ДОКУМЕНТИ, </w:t>
      </w:r>
      <w:r w:rsidRPr="002A27B6">
        <w:rPr>
          <w:rFonts w:ascii="Times New Roman" w:hAnsi="Times New Roman"/>
          <w:b/>
          <w:sz w:val="28"/>
          <w:szCs w:val="28"/>
        </w:rPr>
        <w:br/>
        <w:t xml:space="preserve">НЕОБХІДНІ ДЛЯ ПІДТВЕРДЖЕННЯ ВІДПОВІДНОСТІ ПРОПОЗИЦІЇ </w:t>
      </w:r>
      <w:r w:rsidRPr="002A27B6">
        <w:rPr>
          <w:rFonts w:ascii="Times New Roman" w:hAnsi="Times New Roman"/>
          <w:b/>
          <w:sz w:val="28"/>
          <w:szCs w:val="28"/>
        </w:rPr>
        <w:br/>
        <w:t>УЧАСНИКА-ПЕРЕМОЖЦЯ ВИМОГАМ ЗАМОВНИКА</w:t>
      </w:r>
    </w:p>
    <w:p w:rsidR="00FE6709" w:rsidRPr="002A27B6" w:rsidRDefault="00FE6709" w:rsidP="002A27B6">
      <w:pPr>
        <w:shd w:val="clear" w:color="auto" w:fill="FFFFFF"/>
        <w:spacing w:after="0" w:line="240" w:lineRule="auto"/>
        <w:ind w:right="-415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E6709" w:rsidRPr="008709D0" w:rsidRDefault="00FE6709" w:rsidP="004F2E67">
      <w:pPr>
        <w:tabs>
          <w:tab w:val="left" w:pos="180"/>
        </w:tabs>
        <w:ind w:right="-25"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k-UA"/>
        </w:rPr>
        <w:t>1.</w:t>
      </w:r>
      <w:proofErr w:type="spellStart"/>
      <w:r w:rsidRPr="008709D0">
        <w:rPr>
          <w:rFonts w:ascii="Times New Roman" w:hAnsi="Times New Roman"/>
          <w:sz w:val="23"/>
          <w:szCs w:val="23"/>
        </w:rPr>
        <w:t>Учасник-переможець</w:t>
      </w:r>
      <w:proofErr w:type="spellEnd"/>
      <w:r w:rsidR="003E0079">
        <w:rPr>
          <w:rFonts w:ascii="Times New Roman" w:hAnsi="Times New Roman"/>
          <w:sz w:val="23"/>
          <w:szCs w:val="23"/>
        </w:rPr>
        <w:t xml:space="preserve"> у строк, </w:t>
      </w:r>
      <w:proofErr w:type="spellStart"/>
      <w:r w:rsidR="003E0079">
        <w:rPr>
          <w:rFonts w:ascii="Times New Roman" w:hAnsi="Times New Roman"/>
          <w:sz w:val="23"/>
          <w:szCs w:val="23"/>
        </w:rPr>
        <w:t>що</w:t>
      </w:r>
      <w:proofErr w:type="spellEnd"/>
      <w:r w:rsidR="003E0079">
        <w:rPr>
          <w:rFonts w:ascii="Times New Roman" w:hAnsi="Times New Roman"/>
          <w:sz w:val="23"/>
          <w:szCs w:val="23"/>
        </w:rPr>
        <w:t xml:space="preserve"> не </w:t>
      </w:r>
      <w:proofErr w:type="spellStart"/>
      <w:r w:rsidR="003E0079">
        <w:rPr>
          <w:rFonts w:ascii="Times New Roman" w:hAnsi="Times New Roman"/>
          <w:sz w:val="23"/>
          <w:szCs w:val="23"/>
        </w:rPr>
        <w:t>перевищує</w:t>
      </w:r>
      <w:proofErr w:type="spellEnd"/>
      <w:r w:rsidR="003E0079">
        <w:rPr>
          <w:rFonts w:ascii="Times New Roman" w:hAnsi="Times New Roman"/>
          <w:sz w:val="23"/>
          <w:szCs w:val="23"/>
        </w:rPr>
        <w:t xml:space="preserve"> п»</w:t>
      </w:r>
      <w:r w:rsidR="003E0079">
        <w:rPr>
          <w:rFonts w:ascii="Times New Roman" w:hAnsi="Times New Roman"/>
          <w:sz w:val="23"/>
          <w:szCs w:val="23"/>
          <w:lang w:val="uk-UA"/>
        </w:rPr>
        <w:t>яти</w:t>
      </w:r>
      <w:bookmarkStart w:id="0" w:name="_GoBack"/>
      <w:bookmarkEnd w:id="0"/>
      <w:r w:rsidRPr="008709D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709D0">
        <w:rPr>
          <w:rFonts w:ascii="Times New Roman" w:hAnsi="Times New Roman"/>
          <w:sz w:val="23"/>
          <w:szCs w:val="23"/>
        </w:rPr>
        <w:t>днів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з </w:t>
      </w:r>
      <w:proofErr w:type="spellStart"/>
      <w:r w:rsidRPr="008709D0">
        <w:rPr>
          <w:rFonts w:ascii="Times New Roman" w:hAnsi="Times New Roman"/>
          <w:sz w:val="23"/>
          <w:szCs w:val="23"/>
        </w:rPr>
        <w:t>дати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709D0">
        <w:rPr>
          <w:rFonts w:ascii="Times New Roman" w:hAnsi="Times New Roman"/>
          <w:sz w:val="23"/>
          <w:szCs w:val="23"/>
        </w:rPr>
        <w:t>оприлюднення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на веб-</w:t>
      </w:r>
      <w:proofErr w:type="spellStart"/>
      <w:r w:rsidRPr="008709D0">
        <w:rPr>
          <w:rFonts w:ascii="Times New Roman" w:hAnsi="Times New Roman"/>
          <w:sz w:val="23"/>
          <w:szCs w:val="23"/>
        </w:rPr>
        <w:t>порталі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709D0">
        <w:rPr>
          <w:rFonts w:ascii="Times New Roman" w:hAnsi="Times New Roman"/>
          <w:sz w:val="23"/>
          <w:szCs w:val="23"/>
        </w:rPr>
        <w:t>Уповноваженого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органу </w:t>
      </w:r>
      <w:proofErr w:type="spellStart"/>
      <w:r w:rsidRPr="008709D0">
        <w:rPr>
          <w:rFonts w:ascii="Times New Roman" w:hAnsi="Times New Roman"/>
          <w:sz w:val="23"/>
          <w:szCs w:val="23"/>
        </w:rPr>
        <w:t>повідомлення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про </w:t>
      </w:r>
      <w:proofErr w:type="spellStart"/>
      <w:r w:rsidRPr="008709D0">
        <w:rPr>
          <w:rFonts w:ascii="Times New Roman" w:hAnsi="Times New Roman"/>
          <w:sz w:val="23"/>
          <w:szCs w:val="23"/>
        </w:rPr>
        <w:t>намір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709D0">
        <w:rPr>
          <w:rFonts w:ascii="Times New Roman" w:hAnsi="Times New Roman"/>
          <w:sz w:val="23"/>
          <w:szCs w:val="23"/>
        </w:rPr>
        <w:t>укласти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709D0">
        <w:rPr>
          <w:rFonts w:ascii="Times New Roman" w:hAnsi="Times New Roman"/>
          <w:sz w:val="23"/>
          <w:szCs w:val="23"/>
        </w:rPr>
        <w:t>Договір</w:t>
      </w:r>
      <w:proofErr w:type="spellEnd"/>
      <w:r w:rsidRPr="008709D0">
        <w:rPr>
          <w:rFonts w:ascii="Times New Roman" w:hAnsi="Times New Roman"/>
          <w:sz w:val="23"/>
          <w:szCs w:val="23"/>
        </w:rPr>
        <w:t xml:space="preserve">, </w:t>
      </w:r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повинен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надати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замовнику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шляхом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оприлюднення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їх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електронній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системі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закупівель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такі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документи</w:t>
      </w:r>
      <w:proofErr w:type="spellEnd"/>
      <w:r w:rsidRPr="008709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</w:t>
      </w:r>
      <w:r w:rsidRPr="008709D0">
        <w:rPr>
          <w:rFonts w:ascii="Times New Roman" w:hAnsi="Times New Roman"/>
          <w:sz w:val="23"/>
          <w:szCs w:val="23"/>
        </w:rPr>
        <w:t xml:space="preserve"> </w:t>
      </w:r>
    </w:p>
    <w:p w:rsidR="00FE6709" w:rsidRDefault="00FE6709" w:rsidP="004F2E6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Таблиця 2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"/>
        <w:gridCol w:w="3999"/>
        <w:gridCol w:w="6095"/>
      </w:tblGrid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приймає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відмову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процедурі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відхилити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тендерну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пропозицію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випадків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зазначених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пунктах 2, 4, 5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другої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40 закону) в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E6709" w:rsidRPr="00756970" w:rsidRDefault="00FE6709" w:rsidP="006D778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Переможець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торгів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вимоги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17 Закону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надає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викладену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нижче</w:t>
            </w:r>
            <w:proofErr w:type="spellEnd"/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rPr>
                <w:rFonts w:ascii="Times New Roman" w:hAnsi="Times New Roman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Відомості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юридичну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особу, </w:t>
            </w:r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яка є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внесено до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вчинили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корупційні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корупцією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(пункт 2 ч. 1 ст. 17 Закону)</w:t>
            </w:r>
          </w:p>
        </w:tc>
        <w:tc>
          <w:tcPr>
            <w:tcW w:w="6095" w:type="dxa"/>
          </w:tcPr>
          <w:p w:rsidR="00FE6709" w:rsidRPr="00756970" w:rsidRDefault="00FE6709" w:rsidP="006D7781">
            <w:pPr>
              <w:shd w:val="clear" w:color="auto" w:fill="FFFFFF"/>
              <w:ind w:left="10" w:right="-108" w:hanging="10"/>
              <w:rPr>
                <w:rFonts w:ascii="Times New Roman" w:hAnsi="Times New Roman"/>
                <w:color w:val="000000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довільній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формі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те,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підстави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в </w:t>
            </w:r>
            <w:proofErr w:type="spellStart"/>
            <w:r w:rsidRPr="00756970">
              <w:rPr>
                <w:rFonts w:ascii="Times New Roman" w:hAnsi="Times New Roman"/>
              </w:rPr>
              <w:t>участі</w:t>
            </w:r>
            <w:proofErr w:type="spellEnd"/>
            <w:r w:rsidRPr="00756970">
              <w:rPr>
                <w:rFonts w:ascii="Times New Roman" w:hAnsi="Times New Roman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</w:rPr>
              <w:t>процедурі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</w:rPr>
              <w:t>передбачені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статтею</w:t>
            </w:r>
            <w:proofErr w:type="spellEnd"/>
            <w:r w:rsidRPr="00756970">
              <w:rPr>
                <w:rFonts w:ascii="Times New Roman" w:hAnsi="Times New Roman"/>
              </w:rPr>
              <w:t xml:space="preserve"> 17 Закону </w:t>
            </w:r>
            <w:proofErr w:type="spellStart"/>
            <w:r w:rsidRPr="00756970">
              <w:rPr>
                <w:rFonts w:ascii="Times New Roman" w:hAnsi="Times New Roman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756970">
              <w:rPr>
                <w:rFonts w:ascii="Times New Roman" w:hAnsi="Times New Roman"/>
              </w:rPr>
              <w:t>публічні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», </w:t>
            </w:r>
            <w:proofErr w:type="spellStart"/>
            <w:r w:rsidRPr="00756970">
              <w:rPr>
                <w:rFonts w:ascii="Times New Roman" w:hAnsi="Times New Roman"/>
              </w:rPr>
              <w:t>відсутні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 до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3 ч. 1 ст. 17 Закону</w:t>
            </w: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FE6709" w:rsidRPr="00756970" w:rsidRDefault="00FE6709" w:rsidP="006D7781">
            <w:pPr>
              <w:shd w:val="clear" w:color="auto" w:fill="FFFFFF"/>
              <w:ind w:left="10" w:right="-108" w:hanging="10"/>
              <w:rPr>
                <w:rFonts w:ascii="Times New Roman" w:hAnsi="Times New Roman"/>
                <w:color w:val="000000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довільній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формі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те,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підстави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в </w:t>
            </w:r>
            <w:proofErr w:type="spellStart"/>
            <w:r w:rsidRPr="00756970">
              <w:rPr>
                <w:rFonts w:ascii="Times New Roman" w:hAnsi="Times New Roman"/>
              </w:rPr>
              <w:t>участі</w:t>
            </w:r>
            <w:proofErr w:type="spellEnd"/>
            <w:r w:rsidRPr="00756970">
              <w:rPr>
                <w:rFonts w:ascii="Times New Roman" w:hAnsi="Times New Roman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</w:rPr>
              <w:t>процедурі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</w:rPr>
              <w:t>передбачені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статтею</w:t>
            </w:r>
            <w:proofErr w:type="spellEnd"/>
            <w:r w:rsidRPr="00756970">
              <w:rPr>
                <w:rFonts w:ascii="Times New Roman" w:hAnsi="Times New Roman"/>
              </w:rPr>
              <w:t xml:space="preserve"> 17 Закону </w:t>
            </w:r>
            <w:proofErr w:type="spellStart"/>
            <w:r w:rsidRPr="00756970">
              <w:rPr>
                <w:rFonts w:ascii="Times New Roman" w:hAnsi="Times New Roman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756970">
              <w:rPr>
                <w:rFonts w:ascii="Times New Roman" w:hAnsi="Times New Roman"/>
              </w:rPr>
              <w:t>публічні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», </w:t>
            </w:r>
            <w:proofErr w:type="spellStart"/>
            <w:r w:rsidRPr="00756970">
              <w:rPr>
                <w:rFonts w:ascii="Times New Roman" w:hAnsi="Times New Roman"/>
              </w:rPr>
              <w:t>відсутні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</w:tc>
      </w:tr>
      <w:tr w:rsidR="00FE6709" w:rsidRPr="00756970" w:rsidTr="006D7781">
        <w:trPr>
          <w:trHeight w:val="1266"/>
        </w:trPr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Фізична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особа, яка є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була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засуджена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кримінальне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вчинене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корисливих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мотивів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зокрема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пов’язане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хабарництвом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відмиванням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коштів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судимість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якої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знято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не погашено у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встановленому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законом порядку </w:t>
            </w:r>
            <w:r w:rsidRPr="00756970">
              <w:rPr>
                <w:rFonts w:ascii="Times New Roman" w:hAnsi="Times New Roman"/>
                <w:lang w:eastAsia="uk-UA"/>
              </w:rPr>
              <w:t>(пункт 5 ч. 1 ст. 17 Закону)</w:t>
            </w:r>
          </w:p>
        </w:tc>
        <w:tc>
          <w:tcPr>
            <w:tcW w:w="6095" w:type="dxa"/>
            <w:vAlign w:val="center"/>
          </w:tcPr>
          <w:p w:rsidR="00FE6709" w:rsidRPr="00756970" w:rsidRDefault="00FE6709" w:rsidP="006D778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56970">
              <w:rPr>
                <w:rFonts w:ascii="Times New Roman" w:hAnsi="Times New Roman"/>
                <w:iCs/>
              </w:rPr>
              <w:t>Витяг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інформаційно-аналітичної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системи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«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Облік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відомостей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притягнення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особи до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кримінальної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відповідальності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наявності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судимості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>» (</w:t>
            </w:r>
            <w:hyperlink r:id="rId5" w:history="1">
              <w:r w:rsidRPr="00756970">
                <w:rPr>
                  <w:rStyle w:val="a7"/>
                  <w:iCs/>
                </w:rPr>
                <w:t>https://vytiah.mvs.gov.ua</w:t>
              </w:r>
            </w:hyperlink>
            <w:r w:rsidRPr="00756970">
              <w:rPr>
                <w:rFonts w:ascii="Times New Roman" w:hAnsi="Times New Roman"/>
                <w:iCs/>
              </w:rPr>
              <w:t xml:space="preserve">)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не </w:t>
            </w:r>
            <w:proofErr w:type="spellStart"/>
            <w:r w:rsidRPr="00756970">
              <w:rPr>
                <w:rFonts w:ascii="Times New Roman" w:hAnsi="Times New Roman"/>
              </w:rPr>
              <w:t>раніше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дати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оприлюднення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</w:rPr>
              <w:t>електронній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системі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повідомлення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намір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укласти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договір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закупівлю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</w:rPr>
            </w:pP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  <w:iCs/>
              </w:rPr>
            </w:pPr>
            <w:r w:rsidRPr="00756970">
              <w:rPr>
                <w:rFonts w:ascii="Times New Roman" w:hAnsi="Times New Roman"/>
                <w:iCs/>
              </w:rPr>
              <w:t xml:space="preserve">Тип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Витягу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–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повний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для </w:t>
            </w:r>
            <w:r w:rsidRPr="00756970">
              <w:rPr>
                <w:rFonts w:ascii="Times New Roman" w:hAnsi="Times New Roman"/>
              </w:rPr>
              <w:t>ОФОРМЛЕННЯ УЧАСТІ У ПРОЦЕДУРІ ПУБЛІЧНОЇ ЗАКУПІВЛІ</w:t>
            </w:r>
          </w:p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Службова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посадова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особа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яка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підписала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тендерну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пропозицію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уповноважена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підписання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договору в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разі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переговорної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була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засуджена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кримінальне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вчинене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корисливих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мотивів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зокрема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пов’язане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хабарництвом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шахрайством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відмиванням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коштів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судимість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якої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знято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не погашено у </w:t>
            </w:r>
            <w:proofErr w:type="spellStart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>встановленому</w:t>
            </w:r>
            <w:proofErr w:type="spellEnd"/>
            <w:r w:rsidRPr="0075697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законом порядку </w:t>
            </w:r>
            <w:r w:rsidRPr="00756970">
              <w:rPr>
                <w:rFonts w:ascii="Times New Roman" w:hAnsi="Times New Roman"/>
              </w:rPr>
              <w:t>(</w:t>
            </w:r>
            <w:r w:rsidRPr="00756970">
              <w:rPr>
                <w:rFonts w:ascii="Times New Roman" w:hAnsi="Times New Roman"/>
                <w:bCs/>
              </w:rPr>
              <w:t>пункт 6 ч. 1 ст. 17 Закону</w:t>
            </w:r>
            <w:r w:rsidRPr="00756970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vAlign w:val="center"/>
          </w:tcPr>
          <w:p w:rsidR="00FE6709" w:rsidRPr="00756970" w:rsidRDefault="00FE6709" w:rsidP="006D778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56970">
              <w:rPr>
                <w:rFonts w:ascii="Times New Roman" w:hAnsi="Times New Roman"/>
                <w:iCs/>
              </w:rPr>
              <w:lastRenderedPageBreak/>
              <w:t>Витяг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інформаційно-аналітичної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системи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«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Облік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відомостей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притягнення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особи до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кримінальної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відповідальності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наявності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судимості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>» (</w:t>
            </w:r>
            <w:hyperlink r:id="rId6" w:history="1">
              <w:r w:rsidRPr="00756970">
                <w:rPr>
                  <w:rStyle w:val="a7"/>
                  <w:iCs/>
                </w:rPr>
                <w:t>https://vytiah.mvs.gov.ua</w:t>
              </w:r>
            </w:hyperlink>
            <w:r w:rsidRPr="00756970">
              <w:rPr>
                <w:rFonts w:ascii="Times New Roman" w:hAnsi="Times New Roman"/>
                <w:iCs/>
              </w:rPr>
              <w:t xml:space="preserve">)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не </w:t>
            </w:r>
            <w:proofErr w:type="spellStart"/>
            <w:r w:rsidRPr="00756970">
              <w:rPr>
                <w:rFonts w:ascii="Times New Roman" w:hAnsi="Times New Roman"/>
              </w:rPr>
              <w:t>раніше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дати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оприлюднення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</w:rPr>
              <w:t>електронній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системі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повідомлення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намір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укласти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договір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закупівлю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</w:rPr>
            </w:pP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  <w:iCs/>
              </w:rPr>
            </w:pPr>
            <w:r w:rsidRPr="00756970">
              <w:rPr>
                <w:rFonts w:ascii="Times New Roman" w:hAnsi="Times New Roman"/>
                <w:iCs/>
              </w:rPr>
              <w:t xml:space="preserve">Тип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Витягу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–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повний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для </w:t>
            </w:r>
            <w:r w:rsidRPr="00756970">
              <w:rPr>
                <w:rFonts w:ascii="Times New Roman" w:hAnsi="Times New Roman"/>
              </w:rPr>
              <w:t>ОФОРМЛЕННЯ УЧАСТІ У ПРОЦЕДУРІ ПУБЛІЧНОЇ ЗАКУПІВЛІ</w:t>
            </w:r>
          </w:p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визнано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порядку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банкрутом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відносно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відкрито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ліквідаційну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процедуру (</w:t>
            </w:r>
            <w:r w:rsidRPr="00756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8 ч. 1 ст. 17 Закону</w:t>
            </w: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FE6709" w:rsidRPr="00756970" w:rsidRDefault="00FE6709" w:rsidP="006D7781">
            <w:pPr>
              <w:rPr>
                <w:rFonts w:ascii="Times New Roman" w:hAnsi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довільній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формі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те,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підстави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відмови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в </w:t>
            </w:r>
            <w:proofErr w:type="spellStart"/>
            <w:r w:rsidRPr="00756970">
              <w:rPr>
                <w:rFonts w:ascii="Times New Roman" w:hAnsi="Times New Roman"/>
              </w:rPr>
              <w:t>участі</w:t>
            </w:r>
            <w:proofErr w:type="spellEnd"/>
            <w:r w:rsidRPr="00756970">
              <w:rPr>
                <w:rFonts w:ascii="Times New Roman" w:hAnsi="Times New Roman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</w:rPr>
              <w:t>процедурі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</w:rPr>
              <w:t>передбачені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статтею</w:t>
            </w:r>
            <w:proofErr w:type="spellEnd"/>
            <w:r w:rsidRPr="00756970">
              <w:rPr>
                <w:rFonts w:ascii="Times New Roman" w:hAnsi="Times New Roman"/>
              </w:rPr>
              <w:t xml:space="preserve"> 17 Закону </w:t>
            </w:r>
            <w:proofErr w:type="spellStart"/>
            <w:r w:rsidRPr="00756970">
              <w:rPr>
                <w:rFonts w:ascii="Times New Roman" w:hAnsi="Times New Roman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756970">
              <w:rPr>
                <w:rFonts w:ascii="Times New Roman" w:hAnsi="Times New Roman"/>
              </w:rPr>
              <w:t>публічні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</w:rPr>
              <w:t xml:space="preserve">», </w:t>
            </w:r>
            <w:proofErr w:type="spellStart"/>
            <w:r w:rsidRPr="00756970">
              <w:rPr>
                <w:rFonts w:ascii="Times New Roman" w:hAnsi="Times New Roman"/>
              </w:rPr>
              <w:t>відсутні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Службова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посадова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особа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яку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представляти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інтереси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законом до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дитячої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якими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формами </w:t>
            </w:r>
            <w:proofErr w:type="spellStart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торгівлі</w:t>
            </w:r>
            <w:proofErr w:type="spellEnd"/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людьми</w:t>
            </w:r>
          </w:p>
          <w:p w:rsidR="00FE6709" w:rsidRPr="00756970" w:rsidRDefault="00FE6709" w:rsidP="006D77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69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(пункт 12 ч. 1 ст. 17 Закону)</w:t>
            </w:r>
          </w:p>
        </w:tc>
        <w:tc>
          <w:tcPr>
            <w:tcW w:w="6095" w:type="dxa"/>
            <w:vAlign w:val="center"/>
          </w:tcPr>
          <w:p w:rsidR="00FE6709" w:rsidRPr="00756970" w:rsidRDefault="00FE6709" w:rsidP="006D778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56970">
              <w:rPr>
                <w:rFonts w:ascii="Times New Roman" w:hAnsi="Times New Roman"/>
                <w:iCs/>
              </w:rPr>
              <w:t>Витяг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інформаційно-аналітичної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системи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«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Облік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відомостей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притягнення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особи до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кримінальної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відповідальності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та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наявності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судимості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>» (</w:t>
            </w:r>
            <w:hyperlink r:id="rId7" w:history="1">
              <w:r w:rsidRPr="00756970">
                <w:rPr>
                  <w:rStyle w:val="a7"/>
                  <w:iCs/>
                </w:rPr>
                <w:t>https://vytiah.mvs.gov.ua</w:t>
              </w:r>
            </w:hyperlink>
            <w:r w:rsidRPr="00756970">
              <w:rPr>
                <w:rFonts w:ascii="Times New Roman" w:hAnsi="Times New Roman"/>
                <w:iCs/>
              </w:rPr>
              <w:t xml:space="preserve">)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r w:rsidRPr="00756970">
              <w:rPr>
                <w:rFonts w:ascii="Times New Roman" w:hAnsi="Times New Roman"/>
              </w:rPr>
              <w:t xml:space="preserve">не </w:t>
            </w:r>
            <w:proofErr w:type="spellStart"/>
            <w:r w:rsidRPr="00756970">
              <w:rPr>
                <w:rFonts w:ascii="Times New Roman" w:hAnsi="Times New Roman"/>
              </w:rPr>
              <w:t>раніше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дати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оприлюднення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</w:rPr>
              <w:t>електронній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системі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повідомлення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намір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укласти</w:t>
            </w:r>
            <w:proofErr w:type="spellEnd"/>
            <w:r w:rsidRPr="00756970">
              <w:rPr>
                <w:rFonts w:ascii="Times New Roman" w:hAnsi="Times New Roman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</w:rPr>
              <w:t>договір</w:t>
            </w:r>
            <w:proofErr w:type="spellEnd"/>
            <w:r w:rsidRPr="00756970">
              <w:rPr>
                <w:rFonts w:ascii="Times New Roman" w:hAnsi="Times New Roman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</w:rPr>
              <w:t>закупівлю</w:t>
            </w:r>
            <w:proofErr w:type="spellEnd"/>
            <w:r w:rsidRPr="00756970">
              <w:rPr>
                <w:rFonts w:ascii="Times New Roman" w:hAnsi="Times New Roman"/>
              </w:rPr>
              <w:t>.</w:t>
            </w: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</w:rPr>
            </w:pPr>
          </w:p>
          <w:p w:rsidR="00FE6709" w:rsidRPr="00756970" w:rsidRDefault="00FE6709" w:rsidP="006D7781">
            <w:pPr>
              <w:ind w:firstLine="284"/>
              <w:contextualSpacing/>
              <w:rPr>
                <w:rFonts w:ascii="Times New Roman" w:hAnsi="Times New Roman"/>
                <w:iCs/>
              </w:rPr>
            </w:pPr>
            <w:r w:rsidRPr="00756970">
              <w:rPr>
                <w:rFonts w:ascii="Times New Roman" w:hAnsi="Times New Roman"/>
                <w:iCs/>
              </w:rPr>
              <w:t xml:space="preserve">Тип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Витягу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–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повний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наданий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для </w:t>
            </w:r>
            <w:r w:rsidRPr="00756970">
              <w:rPr>
                <w:rFonts w:ascii="Times New Roman" w:hAnsi="Times New Roman"/>
              </w:rPr>
              <w:t>ОФОРМЛЕННЯ УЧАСТІ У ПРОЦЕДУРІ ПУБЛІЧНОЇ ЗАКУПІВЛІ</w:t>
            </w:r>
          </w:p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FE6709" w:rsidRPr="00756970" w:rsidTr="006D7781">
        <w:tc>
          <w:tcPr>
            <w:tcW w:w="396" w:type="dxa"/>
          </w:tcPr>
          <w:p w:rsidR="00FE6709" w:rsidRPr="00756970" w:rsidRDefault="00FE6709" w:rsidP="006D77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9" w:type="dxa"/>
          </w:tcPr>
          <w:p w:rsidR="00FE6709" w:rsidRPr="00756970" w:rsidRDefault="00FE6709" w:rsidP="006D77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заборгованість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зборів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обов’язкових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крім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такий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здійснив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розстрочення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відстрочення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у порядку та на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такого </w:t>
            </w:r>
            <w:proofErr w:type="spellStart"/>
            <w:r w:rsidRPr="00756970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56970">
              <w:rPr>
                <w:rFonts w:ascii="Times New Roman" w:hAnsi="Times New Roman"/>
                <w:sz w:val="24"/>
                <w:szCs w:val="24"/>
                <w:lang w:eastAsia="uk-UA"/>
              </w:rPr>
              <w:t>пункт 13 ч. 1 ст. 17 Закону</w:t>
            </w:r>
            <w:r w:rsidRPr="00756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Довідка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видана, Державною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податковою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службою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відсутність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контроль за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справлянням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покладено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контролюючі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органи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форма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затверджена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наказом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Міністерства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фінансів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03.09.2018 року №733 </w:t>
            </w:r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автоматично </w:t>
            </w:r>
            <w:proofErr w:type="spellStart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формується</w:t>
            </w:r>
            <w:proofErr w:type="spellEnd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електронній</w:t>
            </w:r>
            <w:proofErr w:type="spellEnd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системі</w:t>
            </w:r>
            <w:proofErr w:type="spellEnd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результаті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інтеграції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системи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інформаційними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системами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Державної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фіскальної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служби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випадку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довідка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автоматично не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сформувалася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електронній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системі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закупівель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така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довідка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містить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інформацію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наявність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відповідає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дійсності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надає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отриману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ним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довідку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відсутність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 контроль за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справлянням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покладено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контролюючі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органи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чинну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дату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подання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такої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довідки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документ про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відсутність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сплати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податків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зборів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обов’язкових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передбачений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законодавством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країни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реєстрації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такого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E6709" w:rsidRPr="00756970" w:rsidRDefault="00FE6709" w:rsidP="006D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contextualSpacing/>
              <w:rPr>
                <w:rFonts w:ascii="Times New Roman" w:hAnsi="Times New Roman"/>
                <w:iCs/>
              </w:rPr>
            </w:pPr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випадку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наявна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сплати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податків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зборів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обов’язкових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але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здійснив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заходи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розстрочення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відстрочення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такої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 порядку</w:t>
            </w:r>
            <w:proofErr w:type="gram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на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умовах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визначених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законодавством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країни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реєстрації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такого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надається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відповідний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документ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таких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756970">
              <w:rPr>
                <w:rFonts w:ascii="Times New Roman" w:hAnsi="Times New Roman"/>
                <w:iCs/>
              </w:rPr>
              <w:t>.</w:t>
            </w:r>
          </w:p>
          <w:p w:rsidR="00FE6709" w:rsidRPr="00756970" w:rsidRDefault="00FE6709" w:rsidP="006D7781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56970">
              <w:rPr>
                <w:rFonts w:ascii="Times New Roman" w:hAnsi="Times New Roman"/>
                <w:iCs/>
              </w:rPr>
              <w:t xml:space="preserve">У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разі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якщо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учасника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наявна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заборгованість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із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сплати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податків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зборів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обов’язкових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платежів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),  та </w:t>
            </w:r>
            <w:r w:rsidRPr="00756970">
              <w:rPr>
                <w:rFonts w:ascii="Times New Roman" w:hAnsi="Times New Roman"/>
                <w:iCs/>
              </w:rPr>
              <w:t xml:space="preserve">у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Реєстрі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заяв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r w:rsidRPr="00756970">
              <w:rPr>
                <w:rFonts w:ascii="Times New Roman" w:hAnsi="Times New Roman"/>
                <w:iCs/>
              </w:rPr>
              <w:lastRenderedPageBreak/>
              <w:t xml:space="preserve">про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розстрочення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відстрочення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грошового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зобов’язання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чи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податкового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боргу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наявна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інформація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про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здійснення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заходів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розстрочення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відстрочення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такої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756970">
              <w:rPr>
                <w:rFonts w:ascii="Times New Roman" w:hAnsi="Times New Roman"/>
                <w:iCs/>
              </w:rPr>
              <w:t>надання</w:t>
            </w:r>
            <w:proofErr w:type="spellEnd"/>
            <w:r w:rsidRPr="00756970">
              <w:rPr>
                <w:rFonts w:ascii="Times New Roman" w:hAnsi="Times New Roman"/>
                <w:iCs/>
              </w:rPr>
              <w:t xml:space="preserve"> документу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вчинення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щодо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розстрочення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відстрочення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заборгованості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вимагається</w:t>
            </w:r>
            <w:proofErr w:type="spellEnd"/>
            <w:r w:rsidRPr="0075697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FE6709" w:rsidRDefault="00FE6709" w:rsidP="003E580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p w:rsidR="00FE6709" w:rsidRPr="008709D0" w:rsidRDefault="00FE6709" w:rsidP="002A27B6">
      <w:pPr>
        <w:shd w:val="clear" w:color="auto" w:fill="FFFFFF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709D0">
        <w:rPr>
          <w:rFonts w:ascii="Times New Roman" w:hAnsi="Times New Roman"/>
          <w:b/>
          <w:bCs/>
          <w:u w:val="single"/>
        </w:rPr>
        <w:t xml:space="preserve">2. </w:t>
      </w:r>
      <w:proofErr w:type="spellStart"/>
      <w:r w:rsidRPr="008709D0">
        <w:rPr>
          <w:rFonts w:ascii="Times New Roman" w:hAnsi="Times New Roman"/>
          <w:b/>
          <w:bCs/>
          <w:u w:val="single"/>
          <w:shd w:val="clear" w:color="auto" w:fill="FFFFFF"/>
        </w:rPr>
        <w:t>Учасник-переможець</w:t>
      </w:r>
      <w:proofErr w:type="spellEnd"/>
      <w:r w:rsidRPr="008709D0">
        <w:rPr>
          <w:rFonts w:ascii="Times New Roman" w:hAnsi="Times New Roman"/>
          <w:b/>
          <w:bCs/>
          <w:u w:val="single"/>
          <w:shd w:val="clear" w:color="auto" w:fill="FFFFFF"/>
        </w:rPr>
        <w:t xml:space="preserve"> </w:t>
      </w:r>
      <w:proofErr w:type="spellStart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під</w:t>
      </w:r>
      <w:proofErr w:type="spellEnd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 xml:space="preserve"> час </w:t>
      </w:r>
      <w:proofErr w:type="spellStart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укладення</w:t>
      </w:r>
      <w:proofErr w:type="spellEnd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 xml:space="preserve"> договору про </w:t>
      </w:r>
      <w:proofErr w:type="spellStart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закупівлю</w:t>
      </w:r>
      <w:proofErr w:type="spellEnd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 xml:space="preserve"> повинен </w:t>
      </w:r>
      <w:proofErr w:type="spellStart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надати</w:t>
      </w:r>
      <w:proofErr w:type="spellEnd"/>
      <w:r w:rsidRPr="008709D0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:</w:t>
      </w:r>
    </w:p>
    <w:p w:rsidR="00FE6709" w:rsidRPr="008709D0" w:rsidRDefault="00FE6709" w:rsidP="002A27B6">
      <w:pPr>
        <w:shd w:val="clear" w:color="auto" w:fill="FFFFFF"/>
        <w:ind w:firstLine="450"/>
        <w:rPr>
          <w:rFonts w:ascii="Times New Roman" w:hAnsi="Times New Roman"/>
          <w:color w:val="000000"/>
        </w:rPr>
      </w:pPr>
      <w:r w:rsidRPr="008709D0">
        <w:rPr>
          <w:rFonts w:ascii="Times New Roman" w:hAnsi="Times New Roman"/>
          <w:color w:val="000000"/>
        </w:rPr>
        <w:t xml:space="preserve">1) </w:t>
      </w:r>
      <w:proofErr w:type="spellStart"/>
      <w:r w:rsidRPr="008709D0">
        <w:rPr>
          <w:rFonts w:ascii="Times New Roman" w:hAnsi="Times New Roman"/>
          <w:color w:val="000000"/>
        </w:rPr>
        <w:t>відповідну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інформацію</w:t>
      </w:r>
      <w:proofErr w:type="spellEnd"/>
      <w:r w:rsidRPr="008709D0">
        <w:rPr>
          <w:rFonts w:ascii="Times New Roman" w:hAnsi="Times New Roman"/>
          <w:color w:val="000000"/>
        </w:rPr>
        <w:t xml:space="preserve"> про право </w:t>
      </w:r>
      <w:proofErr w:type="spellStart"/>
      <w:r w:rsidRPr="008709D0">
        <w:rPr>
          <w:rFonts w:ascii="Times New Roman" w:hAnsi="Times New Roman"/>
          <w:color w:val="000000"/>
        </w:rPr>
        <w:t>підписання</w:t>
      </w:r>
      <w:proofErr w:type="spellEnd"/>
      <w:r w:rsidRPr="008709D0">
        <w:rPr>
          <w:rFonts w:ascii="Times New Roman" w:hAnsi="Times New Roman"/>
          <w:color w:val="000000"/>
        </w:rPr>
        <w:t xml:space="preserve"> договору про </w:t>
      </w:r>
      <w:proofErr w:type="spellStart"/>
      <w:r w:rsidRPr="008709D0">
        <w:rPr>
          <w:rFonts w:ascii="Times New Roman" w:hAnsi="Times New Roman"/>
          <w:color w:val="000000"/>
        </w:rPr>
        <w:t>закупівлю</w:t>
      </w:r>
      <w:proofErr w:type="spellEnd"/>
      <w:r w:rsidRPr="008709D0">
        <w:rPr>
          <w:rFonts w:ascii="Times New Roman" w:hAnsi="Times New Roman"/>
          <w:color w:val="000000"/>
        </w:rPr>
        <w:t>;</w:t>
      </w:r>
    </w:p>
    <w:p w:rsidR="00FE6709" w:rsidRPr="008709D0" w:rsidRDefault="00FE6709" w:rsidP="002A27B6">
      <w:pPr>
        <w:shd w:val="clear" w:color="auto" w:fill="FFFFFF"/>
        <w:ind w:firstLine="450"/>
        <w:rPr>
          <w:rFonts w:ascii="Times New Roman" w:hAnsi="Times New Roman"/>
          <w:color w:val="000000"/>
        </w:rPr>
      </w:pPr>
      <w:r w:rsidRPr="008709D0">
        <w:rPr>
          <w:rFonts w:ascii="Times New Roman" w:hAnsi="Times New Roman"/>
          <w:color w:val="000000"/>
        </w:rPr>
        <w:t>2) </w:t>
      </w:r>
      <w:proofErr w:type="spellStart"/>
      <w:r w:rsidRPr="008709D0">
        <w:rPr>
          <w:rFonts w:ascii="Times New Roman" w:hAnsi="Times New Roman"/>
          <w:color w:val="000000"/>
        </w:rPr>
        <w:t>копію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ліцензії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або</w:t>
      </w:r>
      <w:proofErr w:type="spellEnd"/>
      <w:r w:rsidRPr="008709D0">
        <w:rPr>
          <w:rFonts w:ascii="Times New Roman" w:hAnsi="Times New Roman"/>
          <w:color w:val="000000"/>
        </w:rPr>
        <w:t xml:space="preserve"> документа </w:t>
      </w:r>
      <w:proofErr w:type="spellStart"/>
      <w:r w:rsidRPr="008709D0">
        <w:rPr>
          <w:rFonts w:ascii="Times New Roman" w:hAnsi="Times New Roman"/>
          <w:color w:val="000000"/>
        </w:rPr>
        <w:t>дозвільного</w:t>
      </w:r>
      <w:proofErr w:type="spellEnd"/>
      <w:r w:rsidRPr="008709D0">
        <w:rPr>
          <w:rFonts w:ascii="Times New Roman" w:hAnsi="Times New Roman"/>
          <w:color w:val="000000"/>
        </w:rPr>
        <w:t xml:space="preserve"> характеру (у </w:t>
      </w:r>
      <w:proofErr w:type="spellStart"/>
      <w:r w:rsidRPr="008709D0">
        <w:rPr>
          <w:rFonts w:ascii="Times New Roman" w:hAnsi="Times New Roman"/>
          <w:color w:val="000000"/>
        </w:rPr>
        <w:t>разі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їх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наявності</w:t>
      </w:r>
      <w:proofErr w:type="spellEnd"/>
      <w:r w:rsidRPr="008709D0">
        <w:rPr>
          <w:rFonts w:ascii="Times New Roman" w:hAnsi="Times New Roman"/>
          <w:color w:val="000000"/>
        </w:rPr>
        <w:t xml:space="preserve">) на </w:t>
      </w:r>
      <w:proofErr w:type="spellStart"/>
      <w:r w:rsidRPr="008709D0">
        <w:rPr>
          <w:rFonts w:ascii="Times New Roman" w:hAnsi="Times New Roman"/>
          <w:color w:val="000000"/>
        </w:rPr>
        <w:t>провадження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певного</w:t>
      </w:r>
      <w:proofErr w:type="spellEnd"/>
      <w:r w:rsidRPr="008709D0">
        <w:rPr>
          <w:rFonts w:ascii="Times New Roman" w:hAnsi="Times New Roman"/>
          <w:color w:val="000000"/>
        </w:rPr>
        <w:t xml:space="preserve"> виду </w:t>
      </w:r>
      <w:proofErr w:type="spellStart"/>
      <w:r w:rsidRPr="008709D0">
        <w:rPr>
          <w:rFonts w:ascii="Times New Roman" w:hAnsi="Times New Roman"/>
          <w:color w:val="000000"/>
        </w:rPr>
        <w:t>господарської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діяльності</w:t>
      </w:r>
      <w:proofErr w:type="spellEnd"/>
      <w:r w:rsidRPr="008709D0">
        <w:rPr>
          <w:rFonts w:ascii="Times New Roman" w:hAnsi="Times New Roman"/>
          <w:color w:val="000000"/>
        </w:rPr>
        <w:t xml:space="preserve">, </w:t>
      </w:r>
      <w:proofErr w:type="spellStart"/>
      <w:r w:rsidRPr="008709D0">
        <w:rPr>
          <w:rFonts w:ascii="Times New Roman" w:hAnsi="Times New Roman"/>
          <w:color w:val="000000"/>
        </w:rPr>
        <w:t>якщо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отримання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дозволу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або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ліцензії</w:t>
      </w:r>
      <w:proofErr w:type="spellEnd"/>
      <w:r w:rsidRPr="008709D0">
        <w:rPr>
          <w:rFonts w:ascii="Times New Roman" w:hAnsi="Times New Roman"/>
          <w:color w:val="000000"/>
        </w:rPr>
        <w:t xml:space="preserve"> на </w:t>
      </w:r>
      <w:proofErr w:type="spellStart"/>
      <w:r w:rsidRPr="008709D0">
        <w:rPr>
          <w:rFonts w:ascii="Times New Roman" w:hAnsi="Times New Roman"/>
          <w:color w:val="000000"/>
        </w:rPr>
        <w:t>провадження</w:t>
      </w:r>
      <w:proofErr w:type="spellEnd"/>
      <w:r w:rsidRPr="008709D0">
        <w:rPr>
          <w:rFonts w:ascii="Times New Roman" w:hAnsi="Times New Roman"/>
          <w:color w:val="000000"/>
        </w:rPr>
        <w:t xml:space="preserve"> такого виду </w:t>
      </w:r>
      <w:proofErr w:type="spellStart"/>
      <w:r w:rsidRPr="008709D0">
        <w:rPr>
          <w:rFonts w:ascii="Times New Roman" w:hAnsi="Times New Roman"/>
          <w:color w:val="000000"/>
        </w:rPr>
        <w:t>діяльності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передбачено</w:t>
      </w:r>
      <w:proofErr w:type="spellEnd"/>
      <w:r w:rsidRPr="008709D0">
        <w:rPr>
          <w:rFonts w:ascii="Times New Roman" w:hAnsi="Times New Roman"/>
          <w:color w:val="000000"/>
        </w:rPr>
        <w:t xml:space="preserve"> законом.</w:t>
      </w:r>
    </w:p>
    <w:p w:rsidR="00FE6709" w:rsidRPr="008709D0" w:rsidRDefault="00FE6709" w:rsidP="002A27B6">
      <w:pPr>
        <w:shd w:val="clear" w:color="auto" w:fill="FFFFFF"/>
        <w:ind w:firstLine="450"/>
        <w:rPr>
          <w:rFonts w:ascii="Times New Roman" w:hAnsi="Times New Roman"/>
          <w:color w:val="000000"/>
        </w:rPr>
      </w:pPr>
      <w:r w:rsidRPr="008709D0">
        <w:rPr>
          <w:rFonts w:ascii="Times New Roman" w:hAnsi="Times New Roman"/>
          <w:color w:val="000000"/>
        </w:rPr>
        <w:t xml:space="preserve">У </w:t>
      </w:r>
      <w:proofErr w:type="spellStart"/>
      <w:r w:rsidRPr="008709D0">
        <w:rPr>
          <w:rFonts w:ascii="Times New Roman" w:hAnsi="Times New Roman"/>
          <w:color w:val="000000"/>
        </w:rPr>
        <w:t>разі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якщо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переможцем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процедури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закупівлі</w:t>
      </w:r>
      <w:proofErr w:type="spellEnd"/>
      <w:r w:rsidRPr="008709D0">
        <w:rPr>
          <w:rFonts w:ascii="Times New Roman" w:hAnsi="Times New Roman"/>
          <w:color w:val="000000"/>
        </w:rPr>
        <w:t xml:space="preserve"> є </w:t>
      </w:r>
      <w:proofErr w:type="spellStart"/>
      <w:r w:rsidRPr="008709D0">
        <w:rPr>
          <w:rFonts w:ascii="Times New Roman" w:hAnsi="Times New Roman"/>
          <w:color w:val="000000"/>
        </w:rPr>
        <w:t>об’єднання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учасників</w:t>
      </w:r>
      <w:proofErr w:type="spellEnd"/>
      <w:r w:rsidRPr="008709D0">
        <w:rPr>
          <w:rFonts w:ascii="Times New Roman" w:hAnsi="Times New Roman"/>
          <w:color w:val="000000"/>
        </w:rPr>
        <w:t xml:space="preserve">, </w:t>
      </w:r>
      <w:proofErr w:type="spellStart"/>
      <w:r w:rsidRPr="008709D0">
        <w:rPr>
          <w:rFonts w:ascii="Times New Roman" w:hAnsi="Times New Roman"/>
          <w:color w:val="000000"/>
        </w:rPr>
        <w:t>копія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ліцензії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або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дозволу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надається</w:t>
      </w:r>
      <w:proofErr w:type="spellEnd"/>
      <w:r w:rsidRPr="008709D0">
        <w:rPr>
          <w:rFonts w:ascii="Times New Roman" w:hAnsi="Times New Roman"/>
          <w:color w:val="000000"/>
        </w:rPr>
        <w:t xml:space="preserve"> одним з </w:t>
      </w:r>
      <w:proofErr w:type="spellStart"/>
      <w:r w:rsidRPr="008709D0">
        <w:rPr>
          <w:rFonts w:ascii="Times New Roman" w:hAnsi="Times New Roman"/>
          <w:color w:val="000000"/>
        </w:rPr>
        <w:t>учасників</w:t>
      </w:r>
      <w:proofErr w:type="spellEnd"/>
      <w:r w:rsidRPr="008709D0">
        <w:rPr>
          <w:rFonts w:ascii="Times New Roman" w:hAnsi="Times New Roman"/>
          <w:color w:val="000000"/>
        </w:rPr>
        <w:t xml:space="preserve"> такого </w:t>
      </w:r>
      <w:proofErr w:type="spellStart"/>
      <w:r w:rsidRPr="008709D0">
        <w:rPr>
          <w:rFonts w:ascii="Times New Roman" w:hAnsi="Times New Roman"/>
          <w:color w:val="000000"/>
        </w:rPr>
        <w:t>об’єднання</w:t>
      </w:r>
      <w:proofErr w:type="spellEnd"/>
      <w:r w:rsidRPr="008709D0">
        <w:rPr>
          <w:rFonts w:ascii="Times New Roman" w:hAnsi="Times New Roman"/>
          <w:color w:val="000000"/>
        </w:rPr>
        <w:t xml:space="preserve"> </w:t>
      </w:r>
      <w:proofErr w:type="spellStart"/>
      <w:r w:rsidRPr="008709D0">
        <w:rPr>
          <w:rFonts w:ascii="Times New Roman" w:hAnsi="Times New Roman"/>
          <w:color w:val="000000"/>
        </w:rPr>
        <w:t>учасників</w:t>
      </w:r>
      <w:proofErr w:type="spellEnd"/>
      <w:r w:rsidRPr="008709D0">
        <w:rPr>
          <w:rFonts w:ascii="Times New Roman" w:hAnsi="Times New Roman"/>
          <w:color w:val="000000"/>
        </w:rPr>
        <w:t>.</w:t>
      </w:r>
    </w:p>
    <w:p w:rsidR="00FE6709" w:rsidRPr="002A27B6" w:rsidRDefault="00FE6709" w:rsidP="003E580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FE6709" w:rsidRPr="002A27B6" w:rsidSect="0046722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66C40"/>
    <w:multiLevelType w:val="hybridMultilevel"/>
    <w:tmpl w:val="423EB748"/>
    <w:lvl w:ilvl="0" w:tplc="D9BCB2E6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6C1E12"/>
    <w:multiLevelType w:val="hybridMultilevel"/>
    <w:tmpl w:val="C90A075C"/>
    <w:lvl w:ilvl="0" w:tplc="96EC603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B20AE8"/>
    <w:multiLevelType w:val="hybridMultilevel"/>
    <w:tmpl w:val="76E6D748"/>
    <w:lvl w:ilvl="0" w:tplc="82AED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3C03"/>
    <w:multiLevelType w:val="multilevel"/>
    <w:tmpl w:val="EF867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804"/>
    <w:rsid w:val="0001146A"/>
    <w:rsid w:val="00034971"/>
    <w:rsid w:val="00041546"/>
    <w:rsid w:val="00194BB7"/>
    <w:rsid w:val="001A77D5"/>
    <w:rsid w:val="001C2F41"/>
    <w:rsid w:val="00227469"/>
    <w:rsid w:val="002A27B6"/>
    <w:rsid w:val="002F3382"/>
    <w:rsid w:val="00331442"/>
    <w:rsid w:val="003C419B"/>
    <w:rsid w:val="003E0079"/>
    <w:rsid w:val="003E5804"/>
    <w:rsid w:val="004512BA"/>
    <w:rsid w:val="00467226"/>
    <w:rsid w:val="00485563"/>
    <w:rsid w:val="004E3513"/>
    <w:rsid w:val="004F2E67"/>
    <w:rsid w:val="005426F5"/>
    <w:rsid w:val="00550F28"/>
    <w:rsid w:val="005C3AA4"/>
    <w:rsid w:val="0061179D"/>
    <w:rsid w:val="006C5E0A"/>
    <w:rsid w:val="006C6FAD"/>
    <w:rsid w:val="006D7781"/>
    <w:rsid w:val="00756970"/>
    <w:rsid w:val="007E554D"/>
    <w:rsid w:val="008011C5"/>
    <w:rsid w:val="00813A21"/>
    <w:rsid w:val="00814BD5"/>
    <w:rsid w:val="00821C43"/>
    <w:rsid w:val="0082203D"/>
    <w:rsid w:val="00822954"/>
    <w:rsid w:val="008709D0"/>
    <w:rsid w:val="00871B5A"/>
    <w:rsid w:val="008C2DB5"/>
    <w:rsid w:val="008C3999"/>
    <w:rsid w:val="008D35A7"/>
    <w:rsid w:val="008F213C"/>
    <w:rsid w:val="00927DFC"/>
    <w:rsid w:val="00990ED0"/>
    <w:rsid w:val="00A46DE2"/>
    <w:rsid w:val="00A765F8"/>
    <w:rsid w:val="00A84B6F"/>
    <w:rsid w:val="00A85CD4"/>
    <w:rsid w:val="00A9498C"/>
    <w:rsid w:val="00AB3567"/>
    <w:rsid w:val="00AE4DD3"/>
    <w:rsid w:val="00B52E46"/>
    <w:rsid w:val="00B73F33"/>
    <w:rsid w:val="00B83113"/>
    <w:rsid w:val="00B84A87"/>
    <w:rsid w:val="00C522AB"/>
    <w:rsid w:val="00C86ECD"/>
    <w:rsid w:val="00CA462C"/>
    <w:rsid w:val="00CD6AD3"/>
    <w:rsid w:val="00D51602"/>
    <w:rsid w:val="00DD732F"/>
    <w:rsid w:val="00E7496B"/>
    <w:rsid w:val="00E91485"/>
    <w:rsid w:val="00F20708"/>
    <w:rsid w:val="00F3410A"/>
    <w:rsid w:val="00F603F0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4D151"/>
  <w15:docId w15:val="{50186A54-BF96-416C-BDDF-944A724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27D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D51602"/>
    <w:pPr>
      <w:spacing w:after="0" w:line="240" w:lineRule="auto"/>
      <w:ind w:left="720"/>
    </w:pPr>
    <w:rPr>
      <w:sz w:val="20"/>
      <w:szCs w:val="20"/>
      <w:lang w:val="uk-UA" w:eastAsia="uk-UA"/>
    </w:rPr>
  </w:style>
  <w:style w:type="character" w:customStyle="1" w:styleId="a6">
    <w:name w:val="Абзац списка Знак"/>
    <w:link w:val="a5"/>
    <w:uiPriority w:val="99"/>
    <w:locked/>
    <w:rsid w:val="00D51602"/>
    <w:rPr>
      <w:rFonts w:ascii="Calibri" w:hAnsi="Calibri"/>
      <w:lang w:val="uk-UA"/>
    </w:rPr>
  </w:style>
  <w:style w:type="paragraph" w:styleId="HTML">
    <w:name w:val="HTML Preformatted"/>
    <w:basedOn w:val="a"/>
    <w:link w:val="HTML0"/>
    <w:uiPriority w:val="99"/>
    <w:rsid w:val="00A7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A765F8"/>
    <w:rPr>
      <w:rFonts w:ascii="Courier New" w:hAnsi="Courier New" w:cs="Times New Roman"/>
      <w:color w:val="000000"/>
      <w:sz w:val="18"/>
      <w:szCs w:val="18"/>
    </w:rPr>
  </w:style>
  <w:style w:type="character" w:styleId="a7">
    <w:name w:val="Hyperlink"/>
    <w:uiPriority w:val="99"/>
    <w:rsid w:val="004F2E6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iah.mvs.gov.ua" TargetMode="External"/><Relationship Id="rId5" Type="http://schemas.openxmlformats.org/officeDocument/2006/relationships/hyperlink" Target="https://vytiah.mv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1897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Elena</dc:creator>
  <cp:keywords/>
  <dc:description/>
  <cp:lastModifiedBy>офис</cp:lastModifiedBy>
  <cp:revision>6</cp:revision>
  <cp:lastPrinted>2021-05-27T12:49:00Z</cp:lastPrinted>
  <dcterms:created xsi:type="dcterms:W3CDTF">2022-07-15T07:24:00Z</dcterms:created>
  <dcterms:modified xsi:type="dcterms:W3CDTF">2024-04-15T07:34:00Z</dcterms:modified>
</cp:coreProperties>
</file>