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7A" w:rsidRPr="004623F8" w:rsidRDefault="0083557A" w:rsidP="0083557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 2</w:t>
      </w:r>
    </w:p>
    <w:p w:rsidR="0083557A" w:rsidRPr="00301AAB" w:rsidRDefault="0083557A" w:rsidP="0083557A">
      <w:pPr>
        <w:widowControl w:val="0"/>
        <w:spacing w:after="0" w:line="240" w:lineRule="auto"/>
        <w:ind w:firstLine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23F8">
        <w:rPr>
          <w:rFonts w:ascii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83557A" w:rsidRDefault="0083557A" w:rsidP="0083557A">
      <w:pPr>
        <w:tabs>
          <w:tab w:val="left" w:pos="23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83557A" w:rsidRPr="00301AAB" w:rsidRDefault="0083557A" w:rsidP="00835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301AA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ТЕХНІЧНА </w:t>
      </w:r>
      <w:proofErr w:type="gramStart"/>
      <w:r w:rsidRPr="00301AAB">
        <w:rPr>
          <w:rFonts w:ascii="Times New Roman" w:hAnsi="Times New Roman" w:cs="Times New Roman"/>
          <w:b/>
          <w:sz w:val="24"/>
          <w:szCs w:val="24"/>
          <w:lang w:val="ru-RU" w:eastAsia="en-US"/>
        </w:rPr>
        <w:t>СПЕЦИФІКАЦІЯ  ДО</w:t>
      </w:r>
      <w:proofErr w:type="gramEnd"/>
      <w:r w:rsidRPr="00301AAB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 ПРЕДМЕТА ЗАКУПІВЛІ  </w:t>
      </w:r>
    </w:p>
    <w:p w:rsidR="0083557A" w:rsidRPr="00301AAB" w:rsidRDefault="0083557A" w:rsidP="0083557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(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технічні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якісні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кількісні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інші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вимоги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до предмета </w:t>
      </w:r>
      <w:proofErr w:type="spellStart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301AAB">
        <w:rPr>
          <w:rFonts w:ascii="Times New Roman" w:hAnsi="Times New Roman" w:cs="Times New Roman"/>
          <w:sz w:val="24"/>
          <w:szCs w:val="24"/>
          <w:lang w:val="ru-RU" w:eastAsia="en-US"/>
        </w:rPr>
        <w:t>)</w:t>
      </w:r>
    </w:p>
    <w:p w:rsidR="0083557A" w:rsidRPr="00CA7996" w:rsidRDefault="0083557A" w:rsidP="0083557A">
      <w:pPr>
        <w:jc w:val="center"/>
        <w:rPr>
          <w:rFonts w:ascii="Times New Roman" w:hAnsi="Times New Roman" w:cs="Times New Roman"/>
          <w:b/>
          <w:lang w:val="aa-ET" w:eastAsia="en-US"/>
        </w:rPr>
      </w:pPr>
      <w:proofErr w:type="spellStart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>Квадрокоптери</w:t>
      </w:r>
      <w:proofErr w:type="spellEnd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A7996" w:rsidRPr="00CA7996">
        <w:rPr>
          <w:rFonts w:ascii="Times New Roman" w:hAnsi="Times New Roman" w:cs="Times New Roman"/>
          <w:b/>
          <w:color w:val="202124"/>
          <w:spacing w:val="2"/>
          <w:shd w:val="clear" w:color="auto" w:fill="FFFFFF"/>
        </w:rPr>
        <w:t>9 дюймів</w:t>
      </w:r>
    </w:p>
    <w:p w:rsidR="0083557A" w:rsidRPr="00301AAB" w:rsidRDefault="0083557A" w:rsidP="0083557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1AA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ДК 021:2015: 34710000-7 — Вертольоти, літаки, космічні та інші літальні апарати з двигуном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417"/>
        <w:gridCol w:w="1560"/>
      </w:tblGrid>
      <w:tr w:rsidR="0083557A" w:rsidRPr="00301AAB" w:rsidTr="00AE5B0E">
        <w:trPr>
          <w:trHeight w:val="10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1417" w:type="dxa"/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Од. виміру</w:t>
            </w:r>
          </w:p>
        </w:tc>
        <w:tc>
          <w:tcPr>
            <w:tcW w:w="1560" w:type="dxa"/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Кількість</w:t>
            </w:r>
          </w:p>
        </w:tc>
      </w:tr>
      <w:tr w:rsidR="0083557A" w:rsidRPr="00301AAB" w:rsidTr="00AE5B0E">
        <w:trPr>
          <w:trHeight w:val="1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A" w:rsidRPr="00301AAB" w:rsidRDefault="0083557A" w:rsidP="00AE5B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A" w:rsidRPr="00301AAB" w:rsidRDefault="0083557A" w:rsidP="00CA79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Квадрокоптери</w:t>
            </w:r>
            <w:proofErr w:type="spellEnd"/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A7996" w:rsidRPr="00CA7996">
              <w:rPr>
                <w:rFonts w:ascii="Times New Roman" w:hAnsi="Times New Roman" w:cs="Times New Roman"/>
                <w:b/>
                <w:color w:val="202124"/>
                <w:spacing w:val="2"/>
                <w:shd w:val="clear" w:color="auto" w:fill="FFFFFF"/>
              </w:rPr>
              <w:t>9 дюймів</w:t>
            </w:r>
          </w:p>
        </w:tc>
        <w:tc>
          <w:tcPr>
            <w:tcW w:w="1417" w:type="dxa"/>
            <w:vAlign w:val="center"/>
          </w:tcPr>
          <w:p w:rsidR="0083557A" w:rsidRPr="00301AAB" w:rsidRDefault="0083557A" w:rsidP="00AE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Align w:val="center"/>
          </w:tcPr>
          <w:p w:rsidR="0083557A" w:rsidRPr="00301AAB" w:rsidRDefault="00CA7996" w:rsidP="00AE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</w:tbl>
    <w:p w:rsidR="0083557A" w:rsidRPr="00301AAB" w:rsidRDefault="0083557A" w:rsidP="0083557A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557A" w:rsidRPr="00301AAB" w:rsidRDefault="0083557A" w:rsidP="008355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01AA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Вимоги до </w:t>
      </w:r>
      <w:proofErr w:type="spellStart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>квадрокоптера</w:t>
      </w:r>
      <w:proofErr w:type="spellEnd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01AAB">
        <w:rPr>
          <w:rFonts w:ascii="Times New Roman" w:hAnsi="Times New Roman" w:cs="Times New Roman"/>
          <w:b/>
          <w:sz w:val="24"/>
          <w:szCs w:val="24"/>
          <w:lang w:val="ru-RU" w:eastAsia="en-US"/>
        </w:rPr>
        <w:t>FPV</w:t>
      </w:r>
      <w:r w:rsidRPr="00301A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557A" w:rsidRPr="00301AAB" w:rsidRDefault="0083557A" w:rsidP="0083557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A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p w:rsidR="0083557A" w:rsidRPr="00301AAB" w:rsidRDefault="0083557A" w:rsidP="008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3557A" w:rsidRPr="00301AAB" w:rsidRDefault="0083557A" w:rsidP="008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Бортове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квадрокоптера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повинно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стабільне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польоті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передачею оператору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зображення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курсової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камери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реального часу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3557A" w:rsidRPr="00EA2FA4" w:rsidRDefault="0083557A" w:rsidP="00835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</w:t>
      </w:r>
    </w:p>
    <w:tbl>
      <w:tblPr>
        <w:tblW w:w="9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</w:tblGrid>
      <w:tr w:rsidR="0083557A" w:rsidRPr="00301AAB" w:rsidTr="00AE5B0E">
        <w:trPr>
          <w:trHeight w:val="225"/>
        </w:trPr>
        <w:tc>
          <w:tcPr>
            <w:tcW w:w="9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57A" w:rsidRPr="00301AAB" w:rsidRDefault="0083557A" w:rsidP="00A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57A" w:rsidRPr="00301AAB" w:rsidTr="00AE5B0E">
        <w:trPr>
          <w:trHeight w:val="225"/>
        </w:trPr>
        <w:tc>
          <w:tcPr>
            <w:tcW w:w="9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9631" w:type="dxa"/>
              <w:tblLook w:val="0000" w:firstRow="0" w:lastRow="0" w:firstColumn="0" w:lastColumn="0" w:noHBand="0" w:noVBand="0"/>
            </w:tblPr>
            <w:tblGrid>
              <w:gridCol w:w="6655"/>
              <w:gridCol w:w="2976"/>
            </w:tblGrid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1.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Максимальне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1,5 кг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2. Максимальна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висота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польоту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1000 м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3.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70 (+/-20) км/год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4. Максимальна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120 км/год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5. Максимальна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тривалість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польоту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крейсерський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швидкості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12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хв</w:t>
                  </w:r>
                  <w:proofErr w:type="spellEnd"/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6. Максимальна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протяжність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маршруту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крейсерський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швидкості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16 км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7. 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передачі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сигналів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цифровий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710-790 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МГц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8. Протокол для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комунікації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між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квадрокоптером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і пультом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TBS SUT1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9. 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Роздільна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здатність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курсової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камери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5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00 TVL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10. 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передачі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відеосигналу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аналоговий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4990-5250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MГц</w:t>
                  </w:r>
                  <w:proofErr w:type="spellEnd"/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11. 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Потужність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відеопередавача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30</w:t>
                  </w: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00mW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12. 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Матеріал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рами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квадрокоптера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Текстоліт</w:t>
                  </w:r>
                  <w:proofErr w:type="spellEnd"/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13. Тип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електродвигунів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безколекторні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900KV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lastRenderedPageBreak/>
                    <w:t xml:space="preserve">14.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Акумуляторна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батарея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тип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Li-ion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INR21700, не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8400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mAh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;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напруга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25,2В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15. Плата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ініціації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захист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неконтрольованого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спрацювання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;</w:t>
                  </w:r>
                </w:p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захист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помилкових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дій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пілота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;</w:t>
                  </w:r>
                </w:p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механізм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спрацювання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плати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ініціації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- з пульта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дистанційного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фізичному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зіткненні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квадрокоптера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перешкодою</w:t>
                  </w:r>
                  <w:proofErr w:type="spellEnd"/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16. Детектор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зіткнення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перешкодою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макс.напруга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кола 25,2В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макс.струм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2,5А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17. 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Допустимий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діапазон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температури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експлуатації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-15°С - 40°С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18. Рама </w:t>
                  </w: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дрону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Рама «Трутень 9 </w:t>
                  </w:r>
                  <w:proofErr w:type="spellStart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дюймів</w:t>
                  </w:r>
                  <w:proofErr w:type="spellEnd"/>
                  <w:r w:rsidRPr="0013285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»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20. </w:t>
                  </w: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Двигуни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BrotherHobby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2812 900kv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21. </w:t>
                  </w: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Політний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контролер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T-Motor Velox F405+V-50A-6S-4IN1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22. </w:t>
                  </w: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Відеопередавач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AKK Ultra Long Range 3w X-Band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23. Антена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Foxeer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Lolipop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5.1 150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mm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24. Керування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TBS SUT1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25. АКБ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8400 </w:t>
                  </w: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мАг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26. Камера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Caddx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Ratel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2 PRO 1500 TVL IR Block</w:t>
                  </w: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27. Плата ініціації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ru-RU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З можливістю дистанційного зведення та </w:t>
                  </w:r>
                  <w:proofErr w:type="spellStart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деактивації</w:t>
                  </w:r>
                  <w:proofErr w:type="spellEnd"/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</w:t>
                  </w:r>
                </w:p>
              </w:tc>
            </w:tr>
            <w:tr w:rsidR="0083557A" w:rsidRPr="00301AAB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</w:pPr>
                  <w:r w:rsidRPr="0013285C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28. Комплектація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квадрокоптер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АКБ;</w:t>
                  </w:r>
                </w:p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пакування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довільній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формі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83557A" w:rsidRPr="0013285C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кріплення</w:t>
                  </w:r>
                  <w:proofErr w:type="spellEnd"/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АКБ</w:t>
                  </w:r>
                  <w:r w:rsidRPr="00132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ремінець-липучка 300х25х, 2 шт. </w:t>
                  </w:r>
                </w:p>
              </w:tc>
            </w:tr>
          </w:tbl>
          <w:p w:rsidR="0083557A" w:rsidRPr="00F43FAF" w:rsidRDefault="0083557A" w:rsidP="00A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557A" w:rsidRPr="00F43FAF" w:rsidRDefault="0083557A" w:rsidP="008355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</w:p>
    <w:p w:rsidR="0083557A" w:rsidRPr="00301AAB" w:rsidRDefault="0083557A" w:rsidP="0083557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</w:p>
    <w:p w:rsidR="0083557A" w:rsidRPr="00CA7996" w:rsidRDefault="0083557A" w:rsidP="0083557A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proofErr w:type="spellStart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Квадрокоптери</w:t>
      </w:r>
      <w:proofErr w:type="spellEnd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A7996" w:rsidRPr="00CA7996">
        <w:rPr>
          <w:rFonts w:ascii="Times New Roman" w:hAnsi="Times New Roman" w:cs="Times New Roman"/>
          <w:b/>
          <w:color w:val="202124"/>
          <w:spacing w:val="2"/>
          <w:sz w:val="24"/>
          <w:shd w:val="clear" w:color="auto" w:fill="FFFFFF"/>
        </w:rPr>
        <w:t>7 дюймів</w:t>
      </w:r>
    </w:p>
    <w:p w:rsidR="0083557A" w:rsidRPr="00301AAB" w:rsidRDefault="0083557A" w:rsidP="0083557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1AA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ДК 021:2015: 34710000-7 — Вертольоти, літаки, космічні та інші літальні апарати з двигуном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417"/>
        <w:gridCol w:w="1560"/>
      </w:tblGrid>
      <w:tr w:rsidR="0083557A" w:rsidRPr="00301AAB" w:rsidTr="00AE5B0E">
        <w:trPr>
          <w:trHeight w:val="10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1417" w:type="dxa"/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Од. виміру</w:t>
            </w:r>
          </w:p>
        </w:tc>
        <w:tc>
          <w:tcPr>
            <w:tcW w:w="1560" w:type="dxa"/>
          </w:tcPr>
          <w:p w:rsidR="0083557A" w:rsidRPr="00301AAB" w:rsidRDefault="0083557A" w:rsidP="00A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Кількість</w:t>
            </w:r>
          </w:p>
        </w:tc>
      </w:tr>
      <w:tr w:rsidR="0083557A" w:rsidRPr="00301AAB" w:rsidTr="00AE5B0E">
        <w:trPr>
          <w:trHeight w:val="1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A" w:rsidRPr="00301AAB" w:rsidRDefault="0083557A" w:rsidP="00AE5B0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01A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A" w:rsidRPr="00301AAB" w:rsidRDefault="0083557A" w:rsidP="00AE5B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Квадрокоптери</w:t>
            </w:r>
            <w:proofErr w:type="spellEnd"/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r w:rsidR="00CA7996" w:rsidRPr="00CA7996"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hd w:val="clear" w:color="auto" w:fill="FFFFFF"/>
              </w:rPr>
              <w:t>7 дюймів</w:t>
            </w:r>
            <w:bookmarkEnd w:id="0"/>
          </w:p>
        </w:tc>
        <w:tc>
          <w:tcPr>
            <w:tcW w:w="1417" w:type="dxa"/>
            <w:vAlign w:val="center"/>
          </w:tcPr>
          <w:p w:rsidR="0083557A" w:rsidRPr="00301AAB" w:rsidRDefault="0083557A" w:rsidP="00AE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A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Align w:val="center"/>
          </w:tcPr>
          <w:p w:rsidR="0083557A" w:rsidRPr="00301AAB" w:rsidRDefault="0083557A" w:rsidP="00AE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83557A" w:rsidRPr="00301AAB" w:rsidRDefault="0083557A" w:rsidP="0083557A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557A" w:rsidRPr="00301AAB" w:rsidRDefault="0083557A" w:rsidP="008355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01AA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Вимоги до </w:t>
      </w:r>
      <w:proofErr w:type="spellStart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>квадрокоптера</w:t>
      </w:r>
      <w:proofErr w:type="spellEnd"/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01AAB">
        <w:rPr>
          <w:rFonts w:ascii="Times New Roman" w:hAnsi="Times New Roman" w:cs="Times New Roman"/>
          <w:b/>
          <w:sz w:val="24"/>
          <w:szCs w:val="24"/>
          <w:lang w:val="ru-RU" w:eastAsia="en-US"/>
        </w:rPr>
        <w:t>FPV</w:t>
      </w:r>
      <w:r w:rsidRPr="00301A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557A" w:rsidRPr="00301AAB" w:rsidRDefault="0083557A" w:rsidP="0083557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1A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p w:rsidR="0083557A" w:rsidRPr="00301AAB" w:rsidRDefault="0083557A" w:rsidP="008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3557A" w:rsidRPr="00301AAB" w:rsidRDefault="0083557A" w:rsidP="008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Бортове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квадрокоптера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повинно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стабільне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дистанційне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польоті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передачею оператору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зображення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курсової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камери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реального часу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301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3557A" w:rsidRPr="00301AAB" w:rsidRDefault="0083557A" w:rsidP="00835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</w:tblGrid>
      <w:tr w:rsidR="0083557A" w:rsidRPr="00301AAB" w:rsidTr="00AE5B0E">
        <w:trPr>
          <w:trHeight w:val="225"/>
        </w:trPr>
        <w:tc>
          <w:tcPr>
            <w:tcW w:w="9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57A" w:rsidRPr="00BA1137" w:rsidRDefault="0083557A" w:rsidP="00A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57A" w:rsidRPr="00301AAB" w:rsidTr="00AE5B0E">
        <w:trPr>
          <w:trHeight w:val="225"/>
        </w:trPr>
        <w:tc>
          <w:tcPr>
            <w:tcW w:w="9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9631" w:type="dxa"/>
              <w:tblLook w:val="0000" w:firstRow="0" w:lastRow="0" w:firstColumn="0" w:lastColumn="0" w:noHBand="0" w:noVBand="0"/>
            </w:tblPr>
            <w:tblGrid>
              <w:gridCol w:w="6655"/>
              <w:gridCol w:w="2976"/>
            </w:tblGrid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1.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Максимальне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 кг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2. Максимальна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висота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польоту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1000 м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3.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70 (+/-20) км/год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4. Максимальна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120 км/год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5. Максимальна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тривалість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польоту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крейсерський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швидкості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12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хв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6. Максимальна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протяжність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маршруту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корисним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навантаженням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крейсерський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швидкості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16 км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7. 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передачі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сигналів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цифровий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710-790 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МГц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8. Протокол для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комунікації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між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квадрокоптером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і пультом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TBS SUT1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9. 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Роздільна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здатність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курсової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камери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5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00 TVL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10. 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передачі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відеосигналу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аналоговий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1320</w:t>
                  </w: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MГц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11. 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Потужність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відеопередавача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800mW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12. 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Матеріал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рами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квадрокоптера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Текстоліт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13. Тип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електродвигунів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безколекторні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, 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1300KV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14.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Акумуляторна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батарея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тип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Li-ion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INR21700, не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менше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8400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mAh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;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напруга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25,2В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15. Плата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ініціації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захист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неконтрольованого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спрацювання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;</w:t>
                  </w:r>
                </w:p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>захист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помилкових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дій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пілота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;</w:t>
                  </w:r>
                </w:p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механізм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спрацювання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плати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ініціації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- з пульта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дистанційного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керування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фізичному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зіткненні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квадрокоптера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перешкодою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lastRenderedPageBreak/>
                    <w:t xml:space="preserve">16. Детектор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зіткнення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перешкодою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макс.напруга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кола 25,2В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>макс.струм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-RU" w:eastAsia="en-US"/>
                    </w:rPr>
                    <w:t xml:space="preserve"> 2,5А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17. 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Допустимий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діапазон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температури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експлуатації</w:t>
                  </w:r>
                  <w:proofErr w:type="spellEnd"/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  <w:t>-15°С - 40°С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18. Рама </w:t>
                  </w: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дрону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Рама «Бджола 7 дюймів»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20. </w:t>
                  </w: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Двигуни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FlashHobby</w:t>
                  </w:r>
                  <w:proofErr w:type="spellEnd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2808 1300kv</w:t>
                  </w: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21. </w:t>
                  </w: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Політний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контролер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T-Motor Velox F405+V-50A-6S-4IN1</w:t>
                  </w: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22. </w:t>
                  </w: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Відеопередавач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Readytosky</w:t>
                  </w:r>
                  <w:proofErr w:type="spellEnd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800mw 1320</w:t>
                  </w: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23. Антена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Узгоджена</w:t>
                  </w:r>
                  <w:proofErr w:type="spellEnd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1320</w:t>
                  </w: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мГц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24. Керування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TBS SUT1</w:t>
                  </w: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25. АКБ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8400 </w:t>
                  </w: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мАг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26. Камера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Caddx</w:t>
                  </w:r>
                  <w:proofErr w:type="spellEnd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>Ratel</w:t>
                  </w:r>
                  <w:proofErr w:type="spellEnd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val="en-US"/>
                      <w14:ligatures w14:val="standardContextual"/>
                    </w:rPr>
                    <w:t xml:space="preserve"> 2 PRO 1500 TVL IR Block</w:t>
                  </w: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 або еквівалент</w:t>
                  </w:r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27. Плата ініціації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 xml:space="preserve">З можливістю дистанційного зведення та </w:t>
                  </w:r>
                  <w:proofErr w:type="spellStart"/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деактивації</w:t>
                  </w:r>
                  <w:proofErr w:type="spellEnd"/>
                </w:p>
              </w:tc>
            </w:tr>
            <w:tr w:rsidR="0083557A" w:rsidRPr="00BA1137" w:rsidTr="00AE5B0E">
              <w:trPr>
                <w:trHeight w:val="225"/>
              </w:trPr>
              <w:tc>
                <w:tcPr>
                  <w:tcW w:w="6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14:ligatures w14:val="standardContextual"/>
                    </w:rPr>
                    <w:t>28. Комплектація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квадрокоптер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АКБ;</w:t>
                  </w:r>
                </w:p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пакування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довільній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формі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83557A" w:rsidRPr="00BA1137" w:rsidRDefault="0083557A" w:rsidP="00AE5B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кріплення</w:t>
                  </w:r>
                  <w:proofErr w:type="spellEnd"/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АКБ</w:t>
                  </w:r>
                  <w:r w:rsidRPr="00BA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ремінець-липучка 300х25х, 2 шт. </w:t>
                  </w:r>
                </w:p>
                <w:p w:rsidR="0083557A" w:rsidRPr="00BA1137" w:rsidRDefault="0083557A" w:rsidP="00AE5B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2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3557A" w:rsidRPr="00BA1137" w:rsidRDefault="0083557A" w:rsidP="00A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557A" w:rsidRPr="00301AAB" w:rsidRDefault="0083557A" w:rsidP="008355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</w:p>
    <w:p w:rsidR="0083557A" w:rsidRPr="00301AAB" w:rsidRDefault="0083557A" w:rsidP="0083557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</w:p>
    <w:p w:rsidR="00BF35E4" w:rsidRDefault="00BF35E4" w:rsidP="0083557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F35E4" w:rsidRDefault="00BF35E4" w:rsidP="0083557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557A" w:rsidRPr="00301AAB" w:rsidRDefault="0083557A" w:rsidP="0083557A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b/>
          <w:sz w:val="24"/>
          <w:szCs w:val="24"/>
          <w:lang w:eastAsia="en-US"/>
        </w:rPr>
        <w:t>Загальні вимоги:</w:t>
      </w:r>
    </w:p>
    <w:p w:rsidR="0083557A" w:rsidRPr="00301AAB" w:rsidRDefault="0083557A" w:rsidP="008355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bookmarkStart w:id="1" w:name="_Hlk160180402"/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Ціна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пропозиції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повинна бути сформована з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урахуванням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витрат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доставку до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місця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поставки,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завантаження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розвантаження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занесення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сплату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податків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і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зборів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інші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lastRenderedPageBreak/>
        <w:t>витрати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передбачені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чинним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законодавством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закупівлю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даного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виду.</w:t>
      </w:r>
    </w:p>
    <w:p w:rsidR="0083557A" w:rsidRPr="00301AAB" w:rsidRDefault="0083557A" w:rsidP="008355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До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розрахунку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ціни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пропозиції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не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включаються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будь-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витрати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понесені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учасником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процесі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здійснення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закупівлі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витрати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пов’язані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укладанням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договору,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тощо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.</w:t>
      </w:r>
    </w:p>
    <w:p w:rsidR="0083557A" w:rsidRPr="00301AAB" w:rsidRDefault="0083557A" w:rsidP="00835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Товар,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поставляється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цим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Договором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має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бути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новим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без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попереднього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експлуатаційного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використання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,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належно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упаков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аним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,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в тому числі із супровідними документами,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якісним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відповідати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встановленим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чинним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законодавством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України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нормам, характеристикам, правилам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тощо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врахуванням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застосування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заходів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із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захисту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довкілля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перевіреному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готовому до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використання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призначенням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стані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. Упаковка повинна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забезпечувати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збереження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цілісність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відсутність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механічних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пошкоджень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.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На весь Товар, що постачається, Продавець надає гарантійні документи.</w:t>
      </w:r>
      <w:r w:rsidRPr="00301AAB">
        <w:rPr>
          <w:rFonts w:cs="Times New Roman"/>
          <w:kern w:val="2"/>
          <w:lang w:eastAsia="en-US"/>
          <w14:ligatures w14:val="standardContextual"/>
        </w:rPr>
        <w:t xml:space="preserve"> </w:t>
      </w:r>
      <w:r w:rsidRPr="00301AAB">
        <w:rPr>
          <w:rFonts w:ascii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Гарантійний термін на товар повинен складати не менше, ніж  6 місяців, і починає діяти з дати підписання сторонами товарної накладної або акту приймання – передачі Товару.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Технічні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характеристики товару,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запропонованого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учасником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повинні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відповідати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технічним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характеристикам,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які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зазначені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у цій Технічній </w:t>
      </w:r>
      <w:proofErr w:type="gram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специфікації </w:t>
      </w:r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.</w:t>
      </w:r>
      <w:proofErr w:type="gramEnd"/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Постачальник гарантує якість та надійність товару, що постачається. 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EA2F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Для підтвердження відповідності пропонованого Учасником товару технічним вимогам до предмета закупівлі, Учасник подає у складі пропозиції будь-який з наступних документів:  </w:t>
      </w:r>
      <w:r w:rsidRPr="00BA1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  <w14:ligatures w14:val="standardContextual"/>
        </w:rPr>
        <w:t>Паспорт якості та/або Технічний паспорт та/або сертифікат якості (відповідності) та/або висновок державної санітарно-епідеміологічної експертизи на запропонований товар.</w:t>
      </w:r>
      <w:r w:rsidRPr="00EA2F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Якщо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ці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документи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складені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іноземною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мовою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обов’язково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додається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їх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переклад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українською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>мовою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  <w:t xml:space="preserve">.  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Не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приймаються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до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розгляду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пропозиції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Учасників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на товар,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виготовлений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в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російській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федерації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чи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білорусі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  <w14:ligatures w14:val="standardContextual"/>
        </w:rPr>
        <w:t>ї</w:t>
      </w:r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чи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ввезені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з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території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цих</w:t>
      </w:r>
      <w:proofErr w:type="spellEnd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  <w14:ligatures w14:val="standardContextual"/>
        </w:rPr>
        <w:t>країн</w:t>
      </w:r>
      <w:proofErr w:type="spellEnd"/>
      <w:r w:rsidRPr="00301A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!</w:t>
      </w:r>
    </w:p>
    <w:p w:rsidR="0083557A" w:rsidRPr="00301AAB" w:rsidRDefault="0083557A" w:rsidP="00835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1. </w:t>
      </w: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При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поставці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повинні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надаватися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супровідні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документи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. При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прийомі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обсяг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має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відповідати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обсягу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зазначена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супровідних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документах.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Приймання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за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кількістю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і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якістю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здійснюється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представником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замовника</w:t>
      </w:r>
      <w:proofErr w:type="spellEnd"/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2.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Неякісний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підлягає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обов’язковій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заміні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але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витрати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пов’язані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із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заміною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несе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Постачальник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;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3. 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складі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пропозиції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подає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відповідно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форми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1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цього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додатку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порівняльну</w:t>
      </w:r>
      <w:proofErr w:type="spellEnd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таблицю</w:t>
      </w:r>
      <w:proofErr w:type="spellEnd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відповідності</w:t>
      </w:r>
      <w:proofErr w:type="spellEnd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технічним</w:t>
      </w:r>
      <w:proofErr w:type="spellEnd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EA2FA4">
        <w:rPr>
          <w:rFonts w:ascii="Times New Roman" w:hAnsi="Times New Roman" w:cs="Times New Roman"/>
          <w:bCs/>
          <w:kern w:val="2"/>
          <w:sz w:val="24"/>
          <w:szCs w:val="24"/>
          <w:lang w:val="ru-RU" w:eastAsia="en-US"/>
          <w14:ligatures w14:val="standardContextual"/>
        </w:rPr>
        <w:t>вимогам</w:t>
      </w:r>
      <w:proofErr w:type="spellEnd"/>
      <w:r w:rsidRPr="00301AAB">
        <w:rPr>
          <w:rFonts w:ascii="Times New Roman" w:hAnsi="Times New Roman" w:cs="Times New Roman"/>
          <w:b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Замовника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зазначеним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Технічній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специфікації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.</w:t>
      </w:r>
      <w:r w:rsidRPr="00EA2FA4">
        <w:t xml:space="preserve"> </w:t>
      </w:r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порівняльній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таблиці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зазначити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технічні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та/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інші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характеристики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в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повному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обсязі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.</w:t>
      </w:r>
      <w:r w:rsidRPr="00BA1137">
        <w:t xml:space="preserve"> </w:t>
      </w:r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разі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якщо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встановлені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Замовником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технічні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характеристики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містять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проміжок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(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інтервал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)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значень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формулювання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зразок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«не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більше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»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«не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менше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», «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», то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зобов’язаний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зазначити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конкретні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значення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(не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інтервали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) (та без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вказівки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«не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більше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»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«не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менше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», «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»)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технічних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характеристик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Товару.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складі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тендерної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пропозиції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також</w:t>
      </w:r>
      <w:proofErr w:type="spellEnd"/>
      <w:proofErr w:type="gram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надає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: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-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Оригінал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виробника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його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офіційного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представника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дилера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дистриб’ютора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підтверджує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наявність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партнерських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відносин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компанією-виробником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його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офіційним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представництвом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дилером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чи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дистриб’ютором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містить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гарантії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щодо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поставки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заявленої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Замовником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кількості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який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є предметом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закупівлі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можливість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його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поставки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протягом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строків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визначених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тендерній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документації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підтвердження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щодо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якості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товару. Лист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обов’язково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повинен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містити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посилання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номер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оголошення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оприлюдненого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в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електронній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системі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закупівель</w:t>
      </w:r>
      <w:proofErr w:type="spellEnd"/>
      <w:proofErr w:type="gram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найменування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замовника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назву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предмета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закупівлі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. 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разі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надання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листа не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від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виробника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складі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пропозиції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також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надає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документальне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підтвердження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статусу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офіційного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представництва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виробника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в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Україні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/ дилера/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дистриб’ютора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запропонованого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(лист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сертифікат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інший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документ),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виданий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виробником</w:t>
      </w:r>
      <w:proofErr w:type="spellEnd"/>
      <w:r w:rsidRPr="00BA1137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.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-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товар</w:t>
      </w: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є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новим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(таким,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не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було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в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експлуатації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) та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належно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упакованим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в тому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числі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із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супровідними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документами;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-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 про те,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основні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компоненти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будуть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оригінальними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заміна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компонентів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неоригінальні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забороняється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;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lastRenderedPageBreak/>
        <w:t xml:space="preserve">-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 про те,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транспортні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послуги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інші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витрати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(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пакування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доставка,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встановлення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введення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в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експлуатацію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підключення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навчання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користуванням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обладнання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)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будуть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здійснюватися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рахунок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Учасника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;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-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лист про те,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гарантійний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термін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на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поставлений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має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бути не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менше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6</w:t>
      </w: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(</w:t>
      </w:r>
      <w:r w:rsidRPr="00301AAB">
        <w:rPr>
          <w:rFonts w:ascii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шести</w:t>
      </w:r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)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місяців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з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дати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підписання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сторонами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товарної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накладної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або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акту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приймання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– </w:t>
      </w:r>
      <w:proofErr w:type="spellStart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>передачі</w:t>
      </w:r>
      <w:proofErr w:type="spellEnd"/>
      <w:r w:rsidRPr="00301AAB">
        <w:rPr>
          <w:rFonts w:ascii="Times New Roman" w:hAnsi="Times New Roman" w:cs="Times New Roman"/>
          <w:kern w:val="2"/>
          <w:sz w:val="24"/>
          <w:szCs w:val="24"/>
          <w:lang w:val="ru-RU" w:eastAsia="en-US"/>
          <w14:ligatures w14:val="standardContextual"/>
        </w:rPr>
        <w:t xml:space="preserve"> Товару.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</w:pP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Ознайомившись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з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технічними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вимогами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вимогами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щодо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кількості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термінів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поставки товару,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що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закуповується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учасник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має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можливість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і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погоджується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забезпечити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товарами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відповідної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якості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в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необхідній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кількості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та в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установлені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замовником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строки.</w:t>
      </w:r>
    </w:p>
    <w:p w:rsidR="0083557A" w:rsidRPr="00301AAB" w:rsidRDefault="0083557A" w:rsidP="0083557A">
      <w:pPr>
        <w:spacing w:after="0" w:line="256" w:lineRule="auto"/>
        <w:ind w:firstLine="567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«З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умовами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цієї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Технічної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Специфікації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(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технічних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якісних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кількісних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інших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вимог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та характеристик до предмета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закупівлі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ознайомлений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(і) </w:t>
      </w:r>
      <w:proofErr w:type="gram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та  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погоджуюсь</w:t>
      </w:r>
      <w:proofErr w:type="spellEnd"/>
      <w:proofErr w:type="gram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(</w:t>
      </w:r>
      <w:proofErr w:type="spellStart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ємось</w:t>
      </w:r>
      <w:proofErr w:type="spellEnd"/>
      <w:r w:rsidRPr="00301AAB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)».</w:t>
      </w:r>
    </w:p>
    <w:p w:rsidR="0083557A" w:rsidRPr="00301AAB" w:rsidRDefault="0083557A" w:rsidP="0083557A">
      <w:pPr>
        <w:shd w:val="clear" w:color="auto" w:fill="FFFFFF"/>
        <w:spacing w:after="0" w:line="256" w:lineRule="auto"/>
        <w:ind w:firstLine="567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  <w14:ligatures w14:val="standardContextual"/>
        </w:rPr>
        <w:t>Форма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024"/>
      </w:tblGrid>
      <w:tr w:rsidR="0083557A" w:rsidTr="00AE5B0E">
        <w:trPr>
          <w:trHeight w:val="1183"/>
        </w:trPr>
        <w:tc>
          <w:tcPr>
            <w:tcW w:w="2689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8155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Найменування показника</w:t>
            </w:r>
          </w:p>
        </w:tc>
        <w:tc>
          <w:tcPr>
            <w:tcW w:w="3827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8155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Технічні\якісні\кількісні характеристики визначені замовником</w:t>
            </w:r>
          </w:p>
        </w:tc>
        <w:tc>
          <w:tcPr>
            <w:tcW w:w="3024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8155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Технічні\якісні\кількісні характеристики запропонованого товару</w:t>
            </w:r>
          </w:p>
        </w:tc>
      </w:tr>
      <w:tr w:rsidR="0083557A" w:rsidTr="00AE5B0E">
        <w:trPr>
          <w:trHeight w:val="385"/>
        </w:trPr>
        <w:tc>
          <w:tcPr>
            <w:tcW w:w="2689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827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24" w:type="dxa"/>
          </w:tcPr>
          <w:p w:rsidR="0083557A" w:rsidRPr="00D8155B" w:rsidRDefault="0083557A" w:rsidP="00AE5B0E">
            <w:pPr>
              <w:spacing w:line="256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:rsidR="0083557A" w:rsidRPr="00301AAB" w:rsidRDefault="0083557A" w:rsidP="0083557A">
      <w:pPr>
        <w:shd w:val="clear" w:color="auto" w:fill="FFFFFF"/>
        <w:spacing w:line="256" w:lineRule="auto"/>
        <w:jc w:val="both"/>
        <w:rPr>
          <w:rFonts w:ascii="Times New Roman" w:eastAsia="Arial" w:hAnsi="Times New Roman" w:cs="Times New Roman"/>
          <w:kern w:val="2"/>
          <w:sz w:val="28"/>
          <w:lang w:eastAsia="ru-RU"/>
          <w14:ligatures w14:val="standardContextual"/>
        </w:rPr>
      </w:pPr>
    </w:p>
    <w:p w:rsidR="0083557A" w:rsidRPr="00301AAB" w:rsidRDefault="0083557A" w:rsidP="0083557A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</w:pP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Датовано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: «____» ___________ 202</w:t>
      </w:r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en-US"/>
          <w14:ligatures w14:val="standardContextual"/>
        </w:rPr>
        <w:t>4</w:t>
      </w:r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року</w:t>
      </w:r>
    </w:p>
    <w:p w:rsidR="0083557A" w:rsidRPr="00301AAB" w:rsidRDefault="0083557A" w:rsidP="0083557A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_</w:t>
      </w: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Підпис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(</w:t>
      </w: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прізвище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ініціали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, посада </w:t>
      </w: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уповноваженої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 xml:space="preserve"> особи </w:t>
      </w:r>
      <w:proofErr w:type="spellStart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учасника</w:t>
      </w:r>
      <w:proofErr w:type="spellEnd"/>
      <w:r w:rsidRPr="00301AAB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val="ru-RU" w:eastAsia="en-US"/>
          <w14:ligatures w14:val="standardContextual"/>
        </w:rPr>
        <w:t>).</w:t>
      </w:r>
    </w:p>
    <w:p w:rsidR="0083557A" w:rsidRPr="00301AAB" w:rsidRDefault="0083557A" w:rsidP="008355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557A" w:rsidRPr="00301AAB" w:rsidRDefault="0083557A" w:rsidP="0083557A">
      <w:pPr>
        <w:shd w:val="clear" w:color="auto" w:fill="FFFFFF"/>
        <w:spacing w:after="0" w:line="256" w:lineRule="auto"/>
        <w:ind w:firstLine="567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en-US"/>
          <w14:ligatures w14:val="standardContextual"/>
        </w:rPr>
      </w:pPr>
      <w:r w:rsidRPr="00301AA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  <w14:ligatures w14:val="standardContextual"/>
        </w:rPr>
        <w:t>*</w:t>
      </w:r>
      <w:r w:rsidRPr="00301AAB">
        <w:rPr>
          <w:rFonts w:ascii="Times New Roman" w:eastAsia="Times New Roman" w:hAnsi="Times New Roman" w:cs="Times New Roman"/>
          <w:i/>
          <w:kern w:val="2"/>
          <w:szCs w:val="20"/>
          <w:lang w:eastAsia="ru-RU"/>
          <w14:ligatures w14:val="standardContextual"/>
        </w:rPr>
        <w:t xml:space="preserve">Всі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301AAB">
        <w:rPr>
          <w:rFonts w:ascii="Times New Roman" w:eastAsia="Times New Roman" w:hAnsi="Times New Roman" w:cs="Times New Roman"/>
          <w:i/>
          <w:kern w:val="2"/>
          <w:szCs w:val="20"/>
          <w:u w:val="single"/>
          <w:lang w:eastAsia="ru-RU"/>
          <w14:ligatures w14:val="standardContextual"/>
        </w:rPr>
        <w:t xml:space="preserve">Після кожного такого посилання слід вважати наявний вираз «або еквівалент». </w:t>
      </w:r>
      <w:r w:rsidRPr="00BA1137">
        <w:rPr>
          <w:rFonts w:ascii="Times New Roman" w:eastAsia="Times New Roman" w:hAnsi="Times New Roman" w:cs="Times New Roman"/>
          <w:i/>
          <w:kern w:val="2"/>
          <w:szCs w:val="20"/>
          <w:lang w:eastAsia="ru-RU"/>
          <w14:ligatures w14:val="standardContextual"/>
        </w:rPr>
        <w:t>У складі тендерної пропозиції надати лист щодо надання/не надання еквіваленту запропонованого товару</w:t>
      </w:r>
      <w:r w:rsidRPr="00301AAB">
        <w:rPr>
          <w:rFonts w:ascii="Times New Roman" w:eastAsia="Times New Roman" w:hAnsi="Times New Roman" w:cs="Times New Roman"/>
          <w:i/>
          <w:kern w:val="2"/>
          <w:szCs w:val="20"/>
          <w:u w:val="single"/>
          <w:lang w:eastAsia="ru-RU"/>
          <w14:ligatures w14:val="standardContextual"/>
        </w:rPr>
        <w:t>.</w:t>
      </w:r>
      <w:r w:rsidRPr="00301AAB">
        <w:rPr>
          <w:rFonts w:ascii="Times New Roman" w:eastAsia="Times New Roman" w:hAnsi="Times New Roman" w:cs="Times New Roman"/>
          <w:i/>
          <w:kern w:val="2"/>
          <w:szCs w:val="20"/>
          <w:lang w:eastAsia="ru-RU"/>
          <w14:ligatures w14:val="standardContextual"/>
        </w:rPr>
        <w:t xml:space="preserve"> </w:t>
      </w:r>
      <w:r w:rsidRPr="00301AAB">
        <w:rPr>
          <w:rFonts w:ascii="Times New Roman" w:hAnsi="Times New Roman" w:cs="Times New Roman"/>
          <w:i/>
          <w:kern w:val="2"/>
          <w:lang w:eastAsia="en-US"/>
          <w14:ligatures w14:val="standardContextual"/>
        </w:rPr>
        <w:t>При цьому, запропонований еквівалент має бути не гіршим.</w:t>
      </w:r>
      <w:r w:rsidRPr="00301AAB">
        <w:rPr>
          <w:rFonts w:ascii="Times New Roman" w:hAnsi="Times New Roman" w:cs="Times New Roman"/>
          <w:i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:rsidR="0083557A" w:rsidRPr="00301AAB" w:rsidRDefault="0083557A" w:rsidP="0083557A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kern w:val="2"/>
          <w:lang w:val="ru-RU" w:eastAsia="en-US"/>
          <w14:ligatures w14:val="standardContextual"/>
        </w:rPr>
      </w:pP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Обґрунтування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необхідності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посилання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на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конкретну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торгову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марку (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виробника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тощо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) — </w:t>
      </w:r>
      <w:r w:rsidRPr="00301AAB">
        <w:rPr>
          <w:rFonts w:ascii="Times New Roman" w:hAnsi="Times New Roman" w:cs="Times New Roman"/>
          <w:i/>
          <w:kern w:val="2"/>
          <w:lang w:eastAsia="en-US"/>
          <w14:ligatures w14:val="standardContextual"/>
        </w:rPr>
        <w:t>З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амовник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здійснює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закупівлю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товару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із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встановленням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посилань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на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торгову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назву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конкретного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виробника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оскільки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таке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посилання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є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необхідним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для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здійснення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закупівлі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товару,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який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за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своїми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якісними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технічними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характеристиками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найбільше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відповідатиме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вимогам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та потребам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замовника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.</w:t>
      </w:r>
      <w:r w:rsidRPr="00301AAB">
        <w:rPr>
          <w:rFonts w:ascii="Times New Roman" w:hAnsi="Times New Roman" w:cs="Times New Roman"/>
          <w:i/>
          <w:kern w:val="2"/>
          <w:lang w:val="aa-ET" w:eastAsia="en-US"/>
          <w14:ligatures w14:val="standardContextual"/>
        </w:rPr>
        <w:t xml:space="preserve"> </w:t>
      </w:r>
      <w:r w:rsidRPr="00BA1137">
        <w:rPr>
          <w:rFonts w:ascii="Times New Roman" w:hAnsi="Times New Roman" w:cs="Times New Roman"/>
          <w:i/>
          <w:kern w:val="2"/>
          <w:lang w:val="aa-ET" w:eastAsia="en-US"/>
          <w14:ligatures w14:val="standardContextual"/>
        </w:rPr>
        <w:t>Учасник письмово п</w:t>
      </w:r>
      <w:proofErr w:type="spellStart"/>
      <w:r w:rsidRPr="00BA1137">
        <w:rPr>
          <w:rFonts w:ascii="Times New Roman" w:hAnsi="Times New Roman" w:cs="Times New Roman"/>
          <w:i/>
          <w:kern w:val="2"/>
          <w:lang w:eastAsia="en-US"/>
          <w14:ligatures w14:val="standardContextual"/>
        </w:rPr>
        <w:t>ідтверджує</w:t>
      </w:r>
      <w:proofErr w:type="spellEnd"/>
      <w:r w:rsidRPr="00BA1137">
        <w:rPr>
          <w:rFonts w:ascii="Times New Roman" w:hAnsi="Times New Roman" w:cs="Times New Roman"/>
          <w:i/>
          <w:kern w:val="2"/>
          <w:lang w:eastAsia="en-US"/>
          <w14:ligatures w14:val="standardContextual"/>
        </w:rPr>
        <w:t xml:space="preserve"> згоду з необхідністю посилання на конкретну торгову марку (виробника тощо).</w:t>
      </w:r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Тому для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дотримання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принципів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Закону, 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саме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максимальної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економії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ефективності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та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пропорційності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,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замовником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було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прийнято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proofErr w:type="gram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рішення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  провести</w:t>
      </w:r>
      <w:proofErr w:type="gram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закупівлю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саме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proofErr w:type="spellStart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>даного</w:t>
      </w:r>
      <w:proofErr w:type="spellEnd"/>
      <w:r w:rsidRPr="00301AAB">
        <w:rPr>
          <w:rFonts w:ascii="Times New Roman" w:hAnsi="Times New Roman" w:cs="Times New Roman"/>
          <w:i/>
          <w:kern w:val="2"/>
          <w:lang w:val="ru-RU" w:eastAsia="en-US"/>
          <w14:ligatures w14:val="standardContextual"/>
        </w:rPr>
        <w:t xml:space="preserve"> </w:t>
      </w:r>
      <w:r w:rsidRPr="00301AAB">
        <w:rPr>
          <w:rFonts w:ascii="Times New Roman" w:hAnsi="Times New Roman" w:cs="Times New Roman"/>
          <w:b/>
          <w:i/>
          <w:kern w:val="2"/>
          <w:lang w:val="ru-RU" w:eastAsia="en-US"/>
          <w14:ligatures w14:val="standardContextual"/>
        </w:rPr>
        <w:t>товару.</w:t>
      </w:r>
      <w:bookmarkEnd w:id="1"/>
    </w:p>
    <w:p w:rsidR="0001133F" w:rsidRPr="0083557A" w:rsidRDefault="0001133F">
      <w:pPr>
        <w:rPr>
          <w:lang w:val="ru-RU"/>
        </w:rPr>
      </w:pPr>
    </w:p>
    <w:sectPr w:rsidR="0001133F" w:rsidRPr="00835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1"/>
    <w:rsid w:val="0001133F"/>
    <w:rsid w:val="005F54D1"/>
    <w:rsid w:val="0083557A"/>
    <w:rsid w:val="00BF35E4"/>
    <w:rsid w:val="00C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502D-9715-4703-83E3-F8F6072A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7A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7A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7492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2024-04-01T08:52:00Z</dcterms:created>
  <dcterms:modified xsi:type="dcterms:W3CDTF">2024-04-01T13:01:00Z</dcterms:modified>
</cp:coreProperties>
</file>