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3089" w14:textId="77777777" w:rsidR="002D300E" w:rsidRDefault="002D300E" w:rsidP="002D300E">
      <w:pPr>
        <w:pStyle w:val="a5"/>
        <w:jc w:val="right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Додаток 2 </w:t>
      </w:r>
    </w:p>
    <w:p w14:paraId="166EBCA7" w14:textId="3CDA866F" w:rsidR="002D300E" w:rsidRDefault="002D300E" w:rsidP="002D300E">
      <w:pPr>
        <w:pStyle w:val="a5"/>
        <w:jc w:val="right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до тендерної документації</w:t>
      </w:r>
    </w:p>
    <w:p w14:paraId="31480A91" w14:textId="77777777" w:rsidR="002D300E" w:rsidRDefault="002D300E" w:rsidP="002D300E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Технічні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якісні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кількісні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закупівлі</w:t>
      </w:r>
      <w:proofErr w:type="spellEnd"/>
    </w:p>
    <w:p w14:paraId="33CA237C" w14:textId="77777777" w:rsidR="002D300E" w:rsidRDefault="002D300E" w:rsidP="002D300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123730560"/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124"/>
        <w:gridCol w:w="1671"/>
        <w:gridCol w:w="1284"/>
      </w:tblGrid>
      <w:tr w:rsidR="002D300E" w14:paraId="2A54AFC6" w14:textId="77777777" w:rsidTr="002576C2">
        <w:trPr>
          <w:trHeight w:val="474"/>
          <w:jc w:val="center"/>
        </w:trPr>
        <w:tc>
          <w:tcPr>
            <w:tcW w:w="392" w:type="dxa"/>
            <w:shd w:val="clear" w:color="auto" w:fill="FFFFFF"/>
          </w:tcPr>
          <w:p w14:paraId="6CC01879" w14:textId="77777777" w:rsidR="002D300E" w:rsidRDefault="002D300E" w:rsidP="002576C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124" w:type="dxa"/>
            <w:shd w:val="clear" w:color="auto" w:fill="FFFFFF"/>
          </w:tcPr>
          <w:p w14:paraId="2077BE4A" w14:textId="77777777" w:rsidR="002D300E" w:rsidRDefault="002D300E" w:rsidP="002576C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14:paraId="2CCBD8C1" w14:textId="77777777" w:rsidR="002D300E" w:rsidRDefault="002D300E" w:rsidP="002576C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671" w:type="dxa"/>
            <w:shd w:val="clear" w:color="auto" w:fill="FFFFFF"/>
          </w:tcPr>
          <w:p w14:paraId="23471C9C" w14:textId="77777777" w:rsidR="002D300E" w:rsidRDefault="002D300E" w:rsidP="002576C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  <w:p w14:paraId="7A2164DC" w14:textId="77777777" w:rsidR="002D300E" w:rsidRDefault="002D300E" w:rsidP="002576C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284" w:type="dxa"/>
            <w:shd w:val="clear" w:color="auto" w:fill="FFFFFF"/>
          </w:tcPr>
          <w:p w14:paraId="6E27441B" w14:textId="77777777" w:rsidR="002D300E" w:rsidRDefault="002D300E" w:rsidP="002576C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  <w:p w14:paraId="736CA722" w14:textId="77777777" w:rsidR="002D300E" w:rsidRDefault="002D300E" w:rsidP="002576C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uk-UA"/>
              </w:rPr>
            </w:pPr>
          </w:p>
        </w:tc>
      </w:tr>
      <w:tr w:rsidR="002D300E" w14:paraId="23211F89" w14:textId="77777777" w:rsidTr="002576C2">
        <w:trPr>
          <w:trHeight w:val="197"/>
          <w:jc w:val="center"/>
        </w:trPr>
        <w:tc>
          <w:tcPr>
            <w:tcW w:w="392" w:type="dxa"/>
            <w:shd w:val="clear" w:color="auto" w:fill="FFFFFF"/>
            <w:vAlign w:val="center"/>
          </w:tcPr>
          <w:p w14:paraId="0DE8127A" w14:textId="77777777" w:rsidR="002D300E" w:rsidRDefault="002D300E" w:rsidP="002576C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6124" w:type="dxa"/>
            <w:shd w:val="clear" w:color="auto" w:fill="FFFFFF"/>
            <w:vAlign w:val="center"/>
          </w:tcPr>
          <w:p w14:paraId="1B199A1B" w14:textId="77777777" w:rsidR="002D300E" w:rsidRDefault="002D300E" w:rsidP="002576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Деревина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деревина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дров’яна промислового використання (тверда порода: береза,  дуб, бук, ясен, граб, клен, в’яз, модрина, акація)</w:t>
            </w:r>
          </w:p>
        </w:tc>
        <w:tc>
          <w:tcPr>
            <w:tcW w:w="1671" w:type="dxa"/>
            <w:shd w:val="clear" w:color="auto" w:fill="FFFFFF"/>
            <w:vAlign w:val="center"/>
          </w:tcPr>
          <w:p w14:paraId="4039B1BC" w14:textId="77777777" w:rsidR="002D300E" w:rsidRDefault="002D300E" w:rsidP="00257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куб.</w:t>
            </w:r>
          </w:p>
        </w:tc>
        <w:tc>
          <w:tcPr>
            <w:tcW w:w="1284" w:type="dxa"/>
            <w:shd w:val="clear" w:color="auto" w:fill="FFFFFF"/>
            <w:vAlign w:val="center"/>
          </w:tcPr>
          <w:p w14:paraId="00644E6B" w14:textId="122BB3E2" w:rsidR="002D300E" w:rsidRDefault="002D300E" w:rsidP="002576C2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1586</w:t>
            </w:r>
          </w:p>
        </w:tc>
      </w:tr>
    </w:tbl>
    <w:p w14:paraId="48C39B3E" w14:textId="77777777" w:rsidR="002D300E" w:rsidRPr="0065572F" w:rsidRDefault="002D300E" w:rsidP="002D300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572F">
        <w:rPr>
          <w:rFonts w:ascii="Times New Roman" w:hAnsi="Times New Roman"/>
          <w:sz w:val="24"/>
          <w:szCs w:val="24"/>
          <w:lang w:val="uk-UA"/>
        </w:rPr>
        <w:t xml:space="preserve">2. Продукція лісозаготівлі (деревина дров’яна промислового використання) повинна бути твердих порід (береза,  дуб, бук, ясен, граб, клен, в’яз, модрина, акація)  та відповідати ГОСТу 3243:88, ТУУ-00994207-005:2018, розмір дров по довжині не 2-4 метри  та в діаметрі  від  5 см і більше.  </w:t>
      </w:r>
    </w:p>
    <w:p w14:paraId="132784E6" w14:textId="77777777" w:rsidR="002D300E" w:rsidRDefault="002D300E" w:rsidP="002D300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Дрова </w:t>
      </w:r>
      <w:proofErr w:type="spellStart"/>
      <w:r>
        <w:rPr>
          <w:rFonts w:ascii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/>
          <w:sz w:val="24"/>
          <w:szCs w:val="24"/>
        </w:rPr>
        <w:t>очищенні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сучків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гілок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висота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сучків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залишається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не повинна </w:t>
      </w:r>
      <w:proofErr w:type="spellStart"/>
      <w:r>
        <w:rPr>
          <w:rFonts w:ascii="Times New Roman" w:hAnsi="Times New Roman"/>
          <w:sz w:val="24"/>
          <w:szCs w:val="24"/>
        </w:rPr>
        <w:t>перевищувати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30 мм.</w:t>
      </w:r>
    </w:p>
    <w:p w14:paraId="6E222A31" w14:textId="77777777" w:rsidR="002D300E" w:rsidRDefault="002D300E" w:rsidP="002D300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Дрова </w:t>
      </w:r>
      <w:proofErr w:type="spellStart"/>
      <w:r>
        <w:rPr>
          <w:rFonts w:ascii="Times New Roman" w:hAnsi="Times New Roman"/>
          <w:sz w:val="24"/>
          <w:szCs w:val="24"/>
        </w:rPr>
        <w:t>можуть</w:t>
      </w:r>
      <w:proofErr w:type="spellEnd"/>
      <w:r>
        <w:rPr>
          <w:rFonts w:ascii="Times New Roman" w:hAnsi="Times New Roman"/>
          <w:sz w:val="24"/>
          <w:szCs w:val="24"/>
        </w:rPr>
        <w:t xml:space="preserve"> бути як в </w:t>
      </w:r>
      <w:proofErr w:type="spellStart"/>
      <w:r>
        <w:rPr>
          <w:rFonts w:ascii="Times New Roman" w:hAnsi="Times New Roman"/>
          <w:sz w:val="24"/>
          <w:szCs w:val="24"/>
        </w:rPr>
        <w:t>корі</w:t>
      </w:r>
      <w:proofErr w:type="spellEnd"/>
      <w:r>
        <w:rPr>
          <w:rFonts w:ascii="Times New Roman" w:hAnsi="Times New Roman"/>
          <w:sz w:val="24"/>
          <w:szCs w:val="24"/>
        </w:rPr>
        <w:t xml:space="preserve">, так і без кори. </w:t>
      </w:r>
    </w:p>
    <w:p w14:paraId="2FB9944F" w14:textId="77777777" w:rsidR="002D300E" w:rsidRDefault="002D300E" w:rsidP="002D300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Дрова </w:t>
      </w:r>
      <w:proofErr w:type="spellStart"/>
      <w:r>
        <w:rPr>
          <w:rFonts w:ascii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hAnsi="Times New Roman"/>
          <w:sz w:val="24"/>
          <w:szCs w:val="24"/>
        </w:rPr>
        <w:t xml:space="preserve"> бути без </w:t>
      </w:r>
      <w:proofErr w:type="spellStart"/>
      <w:r>
        <w:rPr>
          <w:rFonts w:ascii="Times New Roman" w:hAnsi="Times New Roman"/>
          <w:sz w:val="24"/>
          <w:szCs w:val="24"/>
        </w:rPr>
        <w:t>гнилі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трухляви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D7B73EF" w14:textId="77777777" w:rsidR="002D300E" w:rsidRDefault="002D300E" w:rsidP="002D300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виробництва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застосовуватися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заходи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довкілля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bookmarkEnd w:id="0"/>
    <w:p w14:paraId="041BA4D8" w14:textId="77777777" w:rsidR="002D300E" w:rsidRDefault="002D300E" w:rsidP="002D3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bookmarkStart w:id="1" w:name="_Hlk123730596"/>
      <w:r>
        <w:rPr>
          <w:rFonts w:ascii="Times New Roman" w:hAnsi="Times New Roman"/>
          <w:sz w:val="24"/>
          <w:szCs w:val="24"/>
          <w:lang w:val="uk-UA"/>
        </w:rPr>
        <w:t>Послуги, які обов’язково надає учасник та включає в ціну товару:</w:t>
      </w:r>
    </w:p>
    <w:p w14:paraId="338FA040" w14:textId="77777777" w:rsidR="002D300E" w:rsidRDefault="002D300E" w:rsidP="002D3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доставка товару  здійснюється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підпорядкованих закладів та установ відділу освіти, сім’ї, молоді, спорту, культури і туризму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Кам’янської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ради, передбаченою цією документацією (додаток № 2 до проекту договору);</w:t>
      </w:r>
    </w:p>
    <w:p w14:paraId="2803906B" w14:textId="77777777" w:rsidR="002D300E" w:rsidRDefault="002D300E" w:rsidP="002D3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здійснення  вантажно-розвантажувальних послуг при поставці товару.</w:t>
      </w:r>
    </w:p>
    <w:p w14:paraId="2BC81231" w14:textId="77777777" w:rsidR="002D300E" w:rsidRDefault="002D300E" w:rsidP="002D30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При доставці товару учасник має врахувати, що до більшості підпорядкованих закладів та установ відділу освіти, сім’ї, молоді, спорту, культури і туризму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Кам’янської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вʼїзд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для великогабаритних транспортних засобів (наприклад </w:t>
      </w:r>
      <w:r>
        <w:rPr>
          <w:rFonts w:ascii="Times New Roman" w:hAnsi="Times New Roman"/>
          <w:bCs/>
          <w:sz w:val="24"/>
          <w:szCs w:val="24"/>
          <w:lang w:val="en-US"/>
        </w:rPr>
        <w:t>MAN</w:t>
      </w:r>
      <w:r>
        <w:rPr>
          <w:rFonts w:ascii="Times New Roman" w:hAnsi="Times New Roman"/>
          <w:bCs/>
          <w:sz w:val="24"/>
          <w:szCs w:val="24"/>
          <w:lang w:val="uk-UA"/>
        </w:rPr>
        <w:t>) є неможливим.</w:t>
      </w:r>
    </w:p>
    <w:p w14:paraId="356EB9EB" w14:textId="77777777" w:rsidR="002D300E" w:rsidRDefault="002D300E" w:rsidP="002D30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Загальні умови поставки товарів:</w:t>
      </w:r>
    </w:p>
    <w:p w14:paraId="73DF3739" w14:textId="7CDB8B77" w:rsidR="002D300E" w:rsidRDefault="002D300E" w:rsidP="002D300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  строки поставки – з дати укладення договору </w:t>
      </w:r>
      <w:r w:rsidRPr="00277538">
        <w:rPr>
          <w:rFonts w:ascii="Times New Roman" w:hAnsi="Times New Roman"/>
          <w:sz w:val="24"/>
          <w:szCs w:val="24"/>
          <w:lang w:val="uk-UA"/>
        </w:rPr>
        <w:t>до 30.11.202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277538">
        <w:rPr>
          <w:rFonts w:ascii="Times New Roman" w:hAnsi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lang w:val="uk-UA"/>
        </w:rPr>
        <w:t xml:space="preserve">. Всі дрова повинні бути доставлені до закладів та установ відділу освіти, сім’ї, молоді, спорту, культури і туризму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Кам’янської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згідно заявок Замовника;</w:t>
      </w:r>
    </w:p>
    <w:p w14:paraId="55567127" w14:textId="77777777" w:rsidR="002D300E" w:rsidRDefault="002D300E" w:rsidP="002D300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поставка товару здійснюється партіями, що погоджуються сторонами в залежності від фактичної потреби замовника. </w:t>
      </w:r>
    </w:p>
    <w:bookmarkEnd w:id="1"/>
    <w:p w14:paraId="703FD149" w14:textId="77777777" w:rsidR="002D300E" w:rsidRDefault="002D300E" w:rsidP="002D300E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Учасники процедури закупівлі повинні надати в складі тендерної пропозиції документи, які підтверджують відповідність тендерної пропозиції учасника технічним, якісним, кількісним та іншим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вимогам до предмета закупівлі, а саме, відповідну технічну специфікацію. Якість предмета закупівлі згідно технічної специфікації має відповідати чинним державним стандартам.</w:t>
      </w:r>
    </w:p>
    <w:p w14:paraId="5B4CE1D7" w14:textId="77777777" w:rsidR="002D300E" w:rsidRPr="0011188F" w:rsidRDefault="002D300E" w:rsidP="002D300E">
      <w:pPr>
        <w:widowControl w:val="0"/>
        <w:shd w:val="clear" w:color="auto" w:fill="FFFFFF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Д</w:t>
      </w:r>
      <w:r w:rsidRPr="00116D37">
        <w:rPr>
          <w:rFonts w:ascii="Times New Roman" w:eastAsia="Lucida Sans Unicode" w:hAnsi="Times New Roman"/>
          <w:sz w:val="24"/>
          <w:szCs w:val="24"/>
          <w:lang w:val="uk-UA" w:bidi="en-US"/>
        </w:rPr>
        <w:t>ля підтвердження можлив</w:t>
      </w:r>
      <w:r>
        <w:rPr>
          <w:rFonts w:ascii="Times New Roman" w:eastAsia="Lucida Sans Unicode" w:hAnsi="Times New Roman"/>
          <w:sz w:val="24"/>
          <w:szCs w:val="24"/>
          <w:lang w:val="uk-UA" w:bidi="en-US"/>
        </w:rPr>
        <w:t>ості</w:t>
      </w:r>
      <w:r w:rsidRPr="00116D37">
        <w:rPr>
          <w:rFonts w:ascii="Times New Roman" w:eastAsia="Lucida Sans Unicode" w:hAnsi="Times New Roman"/>
          <w:sz w:val="24"/>
          <w:szCs w:val="24"/>
          <w:lang w:val="uk-UA" w:bidi="en-US"/>
        </w:rPr>
        <w:t xml:space="preserve"> в Учасника поставити Замовникові </w:t>
      </w:r>
      <w:r>
        <w:rPr>
          <w:rFonts w:ascii="Times New Roman" w:eastAsia="Times New Roman" w:hAnsi="Times New Roman"/>
          <w:iCs/>
          <w:sz w:val="24"/>
          <w:szCs w:val="24"/>
          <w:lang w:val="uk-UA"/>
        </w:rPr>
        <w:t>д</w:t>
      </w:r>
      <w:r w:rsidRPr="006230A6">
        <w:rPr>
          <w:rFonts w:ascii="Times New Roman" w:eastAsia="Times New Roman" w:hAnsi="Times New Roman"/>
          <w:iCs/>
          <w:sz w:val="24"/>
          <w:szCs w:val="24"/>
          <w:lang w:val="uk-UA"/>
        </w:rPr>
        <w:t>еревин</w:t>
      </w:r>
      <w:r>
        <w:rPr>
          <w:rFonts w:ascii="Times New Roman" w:eastAsia="Times New Roman" w:hAnsi="Times New Roman"/>
          <w:iCs/>
          <w:sz w:val="24"/>
          <w:szCs w:val="24"/>
          <w:lang w:val="uk-UA"/>
        </w:rPr>
        <w:t>у</w:t>
      </w:r>
      <w:r w:rsidRPr="006230A6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дров’ян</w:t>
      </w:r>
      <w:r>
        <w:rPr>
          <w:rFonts w:ascii="Times New Roman" w:eastAsia="Times New Roman" w:hAnsi="Times New Roman"/>
          <w:iCs/>
          <w:sz w:val="24"/>
          <w:szCs w:val="24"/>
          <w:lang w:val="uk-UA"/>
        </w:rPr>
        <w:t>у</w:t>
      </w:r>
      <w:r w:rsidRPr="006230A6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промислового використання</w:t>
      </w:r>
      <w:r w:rsidRPr="00116D37">
        <w:rPr>
          <w:rFonts w:ascii="Times New Roman" w:eastAsia="Lucida Sans Unicode" w:hAnsi="Times New Roman"/>
          <w:sz w:val="24"/>
          <w:szCs w:val="24"/>
          <w:lang w:val="uk-UA" w:bidi="en-US"/>
        </w:rPr>
        <w:t xml:space="preserve">, у кількості (об'ємі) та строки, визначені тендерною документацією, Учасник долучає до </w:t>
      </w:r>
      <w:r>
        <w:rPr>
          <w:rFonts w:ascii="Times New Roman" w:eastAsia="Lucida Sans Unicode" w:hAnsi="Times New Roman"/>
          <w:sz w:val="24"/>
          <w:szCs w:val="24"/>
          <w:lang w:val="uk-UA" w:bidi="en-US"/>
        </w:rPr>
        <w:t>технічної специфікації</w:t>
      </w:r>
      <w:r w:rsidRPr="00116D37">
        <w:rPr>
          <w:rFonts w:ascii="Times New Roman" w:eastAsia="Lucida Sans Unicode" w:hAnsi="Times New Roman"/>
          <w:sz w:val="24"/>
          <w:szCs w:val="24"/>
          <w:lang w:val="uk-UA" w:bidi="en-US"/>
        </w:rPr>
        <w:t xml:space="preserve"> копію </w:t>
      </w:r>
      <w:r>
        <w:rPr>
          <w:rFonts w:ascii="Times New Roman" w:eastAsia="Lucida Sans Unicode" w:hAnsi="Times New Roman"/>
          <w:sz w:val="24"/>
          <w:szCs w:val="24"/>
          <w:lang w:val="uk-UA" w:bidi="en-US"/>
        </w:rPr>
        <w:t xml:space="preserve">Дозволу на лісозаготівельні роботи, або копію лісорубного квитка, або копію </w:t>
      </w:r>
      <w:r w:rsidRPr="00116D37">
        <w:rPr>
          <w:rFonts w:ascii="Times New Roman" w:eastAsia="Lucida Sans Unicode" w:hAnsi="Times New Roman"/>
          <w:sz w:val="24"/>
          <w:szCs w:val="24"/>
          <w:lang w:val="uk-UA" w:bidi="en-US"/>
        </w:rPr>
        <w:t xml:space="preserve">відповідного договору або іншого документу, що підтверджує право (можливість) Учасника реалізовувати необхідну Замовникові </w:t>
      </w:r>
      <w:r>
        <w:rPr>
          <w:rFonts w:ascii="Times New Roman" w:eastAsia="Lucida Sans Unicode" w:hAnsi="Times New Roman"/>
          <w:sz w:val="24"/>
          <w:szCs w:val="24"/>
          <w:lang w:val="uk-UA" w:bidi="en-US"/>
        </w:rPr>
        <w:t>деревину дров’яну для промислового використання</w:t>
      </w:r>
      <w:r w:rsidRPr="00116D37">
        <w:rPr>
          <w:rFonts w:ascii="Times New Roman" w:eastAsia="Lucida Sans Unicode" w:hAnsi="Times New Roman"/>
          <w:sz w:val="24"/>
          <w:szCs w:val="24"/>
          <w:lang w:val="uk-UA" w:bidi="en-US"/>
        </w:rPr>
        <w:t xml:space="preserve"> твердих порід, що є предметом закупівлі)</w:t>
      </w:r>
      <w:r>
        <w:rPr>
          <w:rFonts w:ascii="Times New Roman" w:eastAsia="Lucida Sans Unicode" w:hAnsi="Times New Roman"/>
          <w:sz w:val="24"/>
          <w:szCs w:val="24"/>
          <w:lang w:val="uk-UA" w:bidi="en-US"/>
        </w:rPr>
        <w:t xml:space="preserve">. У разі надання копії договору, Учасник має надати </w:t>
      </w:r>
      <w:r w:rsidRPr="006D023E">
        <w:rPr>
          <w:rFonts w:ascii="Times New Roman" w:hAnsi="Times New Roman"/>
          <w:kern w:val="1"/>
          <w:sz w:val="24"/>
          <w:szCs w:val="24"/>
          <w:lang w:val="uk-UA"/>
        </w:rPr>
        <w:t>Лист-підтвердження</w:t>
      </w:r>
      <w:r>
        <w:rPr>
          <w:rFonts w:ascii="Times New Roman" w:hAnsi="Times New Roman"/>
          <w:kern w:val="1"/>
          <w:sz w:val="24"/>
          <w:szCs w:val="24"/>
          <w:lang w:val="uk-UA"/>
        </w:rPr>
        <w:t xml:space="preserve"> від </w:t>
      </w:r>
      <w:r w:rsidRPr="006D023E">
        <w:rPr>
          <w:rFonts w:ascii="Times New Roman" w:hAnsi="Times New Roman"/>
          <w:kern w:val="1"/>
          <w:sz w:val="24"/>
          <w:szCs w:val="24"/>
          <w:lang w:val="uk-UA"/>
        </w:rPr>
        <w:t>особи, яка зазначена у відповідному договорі, щодо</w:t>
      </w:r>
      <w:r>
        <w:rPr>
          <w:rFonts w:ascii="Times New Roman" w:hAnsi="Times New Roman"/>
          <w:kern w:val="1"/>
          <w:sz w:val="24"/>
          <w:szCs w:val="24"/>
          <w:lang w:val="uk-UA"/>
        </w:rPr>
        <w:t xml:space="preserve"> можливості </w:t>
      </w:r>
      <w:r w:rsidRPr="0082416A">
        <w:rPr>
          <w:rFonts w:ascii="Times New Roman" w:eastAsia="Lucida Sans Unicode" w:hAnsi="Times New Roman"/>
          <w:sz w:val="24"/>
          <w:szCs w:val="24"/>
          <w:lang w:val="uk-UA" w:bidi="en-US"/>
        </w:rPr>
        <w:t xml:space="preserve">поставити Замовникові </w:t>
      </w:r>
      <w:r w:rsidRPr="00260C2A">
        <w:rPr>
          <w:rFonts w:ascii="Times New Roman" w:eastAsia="Lucida Sans Unicode" w:hAnsi="Times New Roman"/>
          <w:lang w:val="uk-UA" w:bidi="en-US"/>
        </w:rPr>
        <w:t>дрова твердих порід</w:t>
      </w:r>
      <w:r w:rsidRPr="00260C2A">
        <w:rPr>
          <w:rFonts w:ascii="Times New Roman" w:eastAsia="Lucida Sans Unicode" w:hAnsi="Times New Roman"/>
          <w:sz w:val="24"/>
          <w:szCs w:val="24"/>
          <w:lang w:val="uk-UA" w:bidi="en-US"/>
        </w:rPr>
        <w:t xml:space="preserve">, </w:t>
      </w:r>
      <w:r w:rsidRPr="00116D37">
        <w:rPr>
          <w:rFonts w:ascii="Times New Roman" w:eastAsia="Lucida Sans Unicode" w:hAnsi="Times New Roman"/>
          <w:sz w:val="24"/>
          <w:szCs w:val="24"/>
          <w:lang w:val="uk-UA" w:bidi="en-US"/>
        </w:rPr>
        <w:t>у кількості (об'ємі) та строки, визначені тендерною документацією</w:t>
      </w:r>
      <w:r>
        <w:rPr>
          <w:rFonts w:ascii="Times New Roman" w:eastAsia="Lucida Sans Unicode" w:hAnsi="Times New Roman"/>
          <w:sz w:val="24"/>
          <w:szCs w:val="24"/>
          <w:lang w:val="uk-UA" w:bidi="en-US"/>
        </w:rPr>
        <w:t>.</w:t>
      </w:r>
    </w:p>
    <w:p w14:paraId="0CC076A7" w14:textId="77777777" w:rsidR="00CB06BC" w:rsidRPr="00FA42BB" w:rsidRDefault="002D300E" w:rsidP="00CB06BC">
      <w:pPr>
        <w:widowControl w:val="0"/>
        <w:shd w:val="clear" w:color="auto" w:fill="FFFFFF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6</w:t>
      </w:r>
      <w:r w:rsidRPr="0011188F">
        <w:rPr>
          <w:rFonts w:ascii="Times New Roman" w:hAnsi="Times New Roman"/>
          <w:sz w:val="24"/>
          <w:szCs w:val="24"/>
          <w:lang w:val="uk-UA"/>
        </w:rPr>
        <w:t>. При поставці товару  повинні надаватися  супровідні документи, що підтверджують його  походження, якість, відповідність державним стандартам. При прийомі товару, обсяг  товару має  від</w:t>
      </w:r>
      <w:r>
        <w:rPr>
          <w:rFonts w:ascii="Times New Roman" w:hAnsi="Times New Roman"/>
          <w:sz w:val="24"/>
          <w:szCs w:val="24"/>
          <w:lang w:val="uk-UA"/>
        </w:rPr>
        <w:t xml:space="preserve">повідати обсягу,  </w:t>
      </w:r>
      <w:r w:rsidRPr="00FA42BB">
        <w:rPr>
          <w:rFonts w:ascii="Times New Roman" w:hAnsi="Times New Roman"/>
          <w:sz w:val="24"/>
          <w:szCs w:val="24"/>
          <w:lang w:val="uk-UA"/>
        </w:rPr>
        <w:t xml:space="preserve">який зазначений у супровідних документах.  Приймання Товару за кількістю і якістю здійснюється представником замовника. </w:t>
      </w:r>
    </w:p>
    <w:p w14:paraId="3F967ACB" w14:textId="0B574607" w:rsidR="00CB06BC" w:rsidRPr="00CB06BC" w:rsidRDefault="00CB06BC" w:rsidP="00FA42BB">
      <w:pPr>
        <w:widowControl w:val="0"/>
        <w:shd w:val="clear" w:color="auto" w:fill="FFFFFF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A5266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14:paraId="000DB7DC" w14:textId="0AF19617" w:rsidR="002D300E" w:rsidRPr="00CB06BC" w:rsidRDefault="002D300E" w:rsidP="002D300E">
      <w:pPr>
        <w:widowControl w:val="0"/>
        <w:shd w:val="clear" w:color="auto" w:fill="FFFFFF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9532726" w14:textId="77777777" w:rsidR="002D300E" w:rsidRPr="00A36FB3" w:rsidRDefault="002D300E" w:rsidP="002D300E">
      <w:pPr>
        <w:tabs>
          <w:tab w:val="left" w:pos="142"/>
        </w:tabs>
        <w:autoSpaceDN w:val="0"/>
        <w:spacing w:line="240" w:lineRule="auto"/>
        <w:ind w:firstLine="142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/>
        </w:rPr>
      </w:pPr>
      <w:r w:rsidRPr="00A36FB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uk-UA"/>
        </w:rPr>
        <w:t>Тендерна пропозиція, що не відповідає технічним вимогам до предмету закупівлі, буде відхилена як така, що не відповідає вимогам замовника.</w:t>
      </w:r>
    </w:p>
    <w:p w14:paraId="7611A76F" w14:textId="77777777" w:rsidR="002D300E" w:rsidRPr="00A36FB3" w:rsidRDefault="002D300E" w:rsidP="002D300E">
      <w:pPr>
        <w:spacing w:line="240" w:lineRule="auto"/>
        <w:ind w:firstLine="900"/>
        <w:jc w:val="center"/>
        <w:rPr>
          <w:rStyle w:val="4"/>
          <w:rFonts w:ascii="Times New Roman" w:hAnsi="Times New Roman"/>
          <w:b w:val="0"/>
          <w:bCs w:val="0"/>
          <w:iCs w:val="0"/>
          <w:sz w:val="24"/>
          <w:szCs w:val="24"/>
          <w:lang w:val="uk-UA" w:eastAsia="uk-UA"/>
        </w:rPr>
      </w:pPr>
    </w:p>
    <w:p w14:paraId="1A108360" w14:textId="77777777" w:rsidR="00F76869" w:rsidRPr="002D300E" w:rsidRDefault="00F76869">
      <w:pPr>
        <w:rPr>
          <w:lang w:val="uk-UA"/>
        </w:rPr>
      </w:pPr>
    </w:p>
    <w:sectPr w:rsidR="00F76869" w:rsidRPr="002D300E" w:rsidSect="00EC73AD">
      <w:pgSz w:w="11900" w:h="16840" w:code="9"/>
      <w:pgMar w:top="794" w:right="548" w:bottom="4536" w:left="567" w:header="369" w:footer="5222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B1"/>
    <w:rsid w:val="000A5266"/>
    <w:rsid w:val="002D300E"/>
    <w:rsid w:val="008C60B1"/>
    <w:rsid w:val="00CB06BC"/>
    <w:rsid w:val="00EC73AD"/>
    <w:rsid w:val="00F76869"/>
    <w:rsid w:val="00FA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62DD"/>
  <w15:chartTrackingRefBased/>
  <w15:docId w15:val="{EE06DC1E-819E-4DBC-A02E-BD6D07C5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2D3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Звичайний (веб) Знак"/>
    <w:link w:val="a3"/>
    <w:uiPriority w:val="99"/>
    <w:qFormat/>
    <w:locked/>
    <w:rsid w:val="002D300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basedOn w:val="a"/>
    <w:link w:val="a6"/>
    <w:qFormat/>
    <w:rsid w:val="002D300E"/>
    <w:pPr>
      <w:spacing w:after="0" w:line="240" w:lineRule="auto"/>
    </w:pPr>
    <w:rPr>
      <w:rFonts w:eastAsia="Times New Roman"/>
      <w:sz w:val="24"/>
      <w:szCs w:val="32"/>
      <w:lang w:val="en-US" w:eastAsia="ru-RU"/>
    </w:rPr>
  </w:style>
  <w:style w:type="character" w:customStyle="1" w:styleId="a6">
    <w:name w:val="Без інтервалів Знак"/>
    <w:link w:val="a5"/>
    <w:qFormat/>
    <w:locked/>
    <w:rsid w:val="002D300E"/>
    <w:rPr>
      <w:rFonts w:ascii="Calibri" w:eastAsia="Times New Roman" w:hAnsi="Calibri" w:cs="Times New Roman"/>
      <w:sz w:val="24"/>
      <w:szCs w:val="32"/>
      <w:lang w:val="en-US" w:eastAsia="ru-RU"/>
    </w:rPr>
  </w:style>
  <w:style w:type="character" w:customStyle="1" w:styleId="4">
    <w:name w:val="Основной текст (4)"/>
    <w:qFormat/>
    <w:rsid w:val="002D300E"/>
    <w:rPr>
      <w:b/>
      <w:bCs/>
      <w:i/>
      <w:iCs/>
      <w:sz w:val="23"/>
      <w:szCs w:val="23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Тетяна Михайлівна</dc:creator>
  <cp:keywords/>
  <dc:description/>
  <cp:lastModifiedBy>Романюк Тетяна Михайлівна</cp:lastModifiedBy>
  <cp:revision>5</cp:revision>
  <cp:lastPrinted>2024-01-24T09:55:00Z</cp:lastPrinted>
  <dcterms:created xsi:type="dcterms:W3CDTF">2024-01-18T07:46:00Z</dcterms:created>
  <dcterms:modified xsi:type="dcterms:W3CDTF">2024-01-24T09:55:00Z</dcterms:modified>
</cp:coreProperties>
</file>