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Default="009C388D" w:rsidP="009C388D">
      <w:pPr>
        <w:shd w:val="clear" w:color="auto" w:fill="FFFFFF" w:themeFill="background1"/>
        <w:ind w:firstLine="425"/>
        <w:jc w:val="center"/>
        <w:rPr>
          <w:b/>
          <w:i/>
          <w:lang w:val="uk-UA"/>
        </w:rPr>
      </w:pPr>
      <w:r w:rsidRPr="00502FEA">
        <w:rPr>
          <w:b/>
          <w:i/>
        </w:rPr>
        <w:t xml:space="preserve">Інформація та документи, що </w:t>
      </w:r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 xml:space="preserve">ідтверджують відповідність учасника кваліфікаційним критеріям </w:t>
      </w:r>
    </w:p>
    <w:p w:rsidR="000B6B37" w:rsidRPr="000B6B37" w:rsidRDefault="000B6B37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</w:p>
    <w:p w:rsidR="005C5FAF" w:rsidRPr="00D77165" w:rsidRDefault="005C5FAF" w:rsidP="005C5FAF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7165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5C5FAF" w:rsidRPr="00D77165" w:rsidRDefault="005C5FAF" w:rsidP="005C5FAF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7165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5C5FAF" w:rsidRPr="00D77165" w:rsidRDefault="005C5FAF" w:rsidP="005C5FAF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7165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5C5FAF" w:rsidRPr="00D77165" w:rsidRDefault="005C5FAF" w:rsidP="005C5FAF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7165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5C5FAF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0B6B37" w:rsidRPr="00193013" w:rsidRDefault="000B6B37" w:rsidP="000B6B37">
      <w:pPr>
        <w:suppressAutoHyphens/>
        <w:jc w:val="right"/>
        <w:rPr>
          <w:b/>
          <w:bCs/>
          <w:color w:val="000000"/>
          <w:sz w:val="25"/>
          <w:szCs w:val="25"/>
          <w:lang w:eastAsia="ar-SA"/>
        </w:rPr>
      </w:pPr>
    </w:p>
    <w:tbl>
      <w:tblPr>
        <w:tblW w:w="10632" w:type="dxa"/>
        <w:tblInd w:w="-289" w:type="dxa"/>
        <w:tblLayout w:type="fixed"/>
        <w:tblLook w:val="0000"/>
      </w:tblPr>
      <w:tblGrid>
        <w:gridCol w:w="2269"/>
        <w:gridCol w:w="8363"/>
      </w:tblGrid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both"/>
              <w:rPr>
                <w:b/>
                <w:spacing w:val="4"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 xml:space="preserve">Критерії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ind w:right="183"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Інформація та документи, які </w:t>
            </w:r>
            <w:proofErr w:type="gram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ідтверджує відповідність Учасника критеріям</w:t>
            </w:r>
          </w:p>
        </w:tc>
      </w:tr>
      <w:tr w:rsidR="000B6B37" w:rsidRPr="00193013" w:rsidTr="00F540C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b/>
                <w:spacing w:val="4"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2</w:t>
            </w:r>
          </w:p>
        </w:tc>
      </w:tr>
      <w:tr w:rsidR="000B6B37" w:rsidRPr="00193013" w:rsidTr="00F540C0">
        <w:trPr>
          <w:trHeight w:val="55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AF" w:rsidRPr="005C5FAF" w:rsidRDefault="000B6B37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1.1.</w:t>
            </w:r>
            <w:r w:rsidR="005C5FAF" w:rsidRPr="005C5FAF">
              <w:rPr>
                <w:bCs/>
                <w:lang w:val="uk-UA"/>
              </w:rPr>
              <w:t>1.</w:t>
            </w:r>
            <w:r w:rsidR="005C5FAF" w:rsidRPr="005C5FAF">
              <w:rPr>
                <w:bCs/>
              </w:rPr>
              <w:t xml:space="preserve"> Довідка у довільній формі, що містить інформацію про наявність техніки, устаткування, обладнання, приладів, будівельних механізмів  та матеріально-технічної бази Учасника необхідних для виконання робіт з поточного ремонту визначених у технічному завданні (із зазначенням їх найменування, наявної кількості а також </w:t>
            </w:r>
            <w:proofErr w:type="gramStart"/>
            <w:r w:rsidR="005C5FAF" w:rsidRPr="005C5FAF">
              <w:rPr>
                <w:bCs/>
              </w:rPr>
              <w:t>п</w:t>
            </w:r>
            <w:proofErr w:type="gramEnd"/>
            <w:r w:rsidR="005C5FAF" w:rsidRPr="005C5FAF">
              <w:rPr>
                <w:bCs/>
              </w:rPr>
              <w:t xml:space="preserve">ідстави користування (власне, орендоване та ін.). 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</w:rPr>
            </w:pPr>
            <w:r w:rsidRPr="005C5FAF">
              <w:rPr>
                <w:bCs/>
              </w:rPr>
              <w:t xml:space="preserve">До довідки </w:t>
            </w:r>
            <w:proofErr w:type="gramStart"/>
            <w:r w:rsidRPr="005C5FAF">
              <w:rPr>
                <w:bCs/>
              </w:rPr>
              <w:t>включається</w:t>
            </w:r>
            <w:proofErr w:type="gramEnd"/>
            <w:r w:rsidRPr="005C5FAF">
              <w:rPr>
                <w:bCs/>
              </w:rPr>
              <w:t xml:space="preserve"> обладнання, матеріально-технічна база та технології, що будуть використовуватися при виконанні робіт з поточного ремонту, що враховані при розрахунку договірної ціни і зазначені у відомості ресурсів до кошторису.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</w:rPr>
            </w:pPr>
            <w:r w:rsidRPr="005C5FAF">
              <w:rPr>
                <w:bCs/>
              </w:rPr>
              <w:t xml:space="preserve">Для </w:t>
            </w:r>
            <w:proofErr w:type="gramStart"/>
            <w:r w:rsidRPr="005C5FAF">
              <w:rPr>
                <w:bCs/>
              </w:rPr>
              <w:t>п</w:t>
            </w:r>
            <w:proofErr w:type="gramEnd"/>
            <w:r w:rsidRPr="005C5FAF">
              <w:rPr>
                <w:bCs/>
              </w:rPr>
              <w:t>ідтвердження наявності в Учасника матеріально-технічної бази у складі тендерної пропозиції надати скан-копії з оригіналів документів що підтверджують право власності та/або оренди та/або право користування, відповідно до наданої довідки (оборотно-сальдова відомість, тощо).</w:t>
            </w:r>
          </w:p>
          <w:p w:rsidR="000B6B37" w:rsidRPr="005C5FAF" w:rsidRDefault="000B6B37" w:rsidP="00F540C0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0B6B37" w:rsidRPr="00193013" w:rsidTr="00F540C0">
        <w:trPr>
          <w:trHeight w:val="100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 xml:space="preserve">2. Наявність працівників </w:t>
            </w:r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в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ідповідної кваліфікації, які мають необхідні знання та досвід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AF" w:rsidRPr="005C5FAF" w:rsidRDefault="000B6B37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2.1.</w:t>
            </w:r>
            <w:r w:rsidR="005C5FAF" w:rsidRPr="005C5FAF">
              <w:rPr>
                <w:bCs/>
                <w:lang w:val="uk-UA"/>
              </w:rPr>
              <w:t>1.</w:t>
            </w:r>
            <w:r w:rsidRPr="005C5FAF">
              <w:rPr>
                <w:bCs/>
              </w:rPr>
              <w:t xml:space="preserve"> </w:t>
            </w:r>
            <w:r w:rsidR="005C5FAF" w:rsidRPr="005C5FAF">
              <w:rPr>
                <w:bCs/>
              </w:rPr>
              <w:t xml:space="preserve">Довідка у довільній формі про наявність працівників </w:t>
            </w:r>
            <w:proofErr w:type="gramStart"/>
            <w:r w:rsidR="005C5FAF" w:rsidRPr="005C5FAF">
              <w:rPr>
                <w:bCs/>
              </w:rPr>
              <w:t>в</w:t>
            </w:r>
            <w:proofErr w:type="gramEnd"/>
            <w:r w:rsidR="005C5FAF" w:rsidRPr="005C5FAF">
              <w:rPr>
                <w:bCs/>
              </w:rPr>
              <w:t xml:space="preserve">ідповідної кваліфікації, які мають необхідні знання та досвід, та які будуть залучені до виконання робіт з поточного ремонту, які є предметом закупівлі з зазначенням прізвища, ім’я, по батькові кожного з інженерно-технічних працівників та робітників основних професій, їх посад, інформації про їх освіту, </w:t>
            </w:r>
            <w:proofErr w:type="gramStart"/>
            <w:r w:rsidR="005C5FAF" w:rsidRPr="005C5FAF">
              <w:rPr>
                <w:bCs/>
              </w:rPr>
              <w:t>спец</w:t>
            </w:r>
            <w:proofErr w:type="gramEnd"/>
            <w:r w:rsidR="005C5FAF" w:rsidRPr="005C5FAF">
              <w:rPr>
                <w:bCs/>
              </w:rPr>
              <w:t>іальність та загальний досвід роботи за фахом.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Обов’язкова наявність: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 xml:space="preserve">- головний інженер з вищою технічною освітою (надати кольорову </w:t>
            </w:r>
            <w:proofErr w:type="gramStart"/>
            <w:r w:rsidRPr="005C5FAF">
              <w:rPr>
                <w:bCs/>
              </w:rPr>
              <w:t>скан-коп</w:t>
            </w:r>
            <w:proofErr w:type="gramEnd"/>
            <w:r w:rsidRPr="005C5FAF">
              <w:rPr>
                <w:bCs/>
              </w:rPr>
              <w:t>ію диплому);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 xml:space="preserve">- слюсар-електрик з ремонту електроустаткування; 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- електрозварник;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- монтажника устаткування холодильних установок;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- монтажника систем вентиляції, кондиціювання повітря, пневмотранспорту й аспірації.</w:t>
            </w:r>
          </w:p>
          <w:p w:rsidR="005C5FAF" w:rsidRPr="005C5FAF" w:rsidRDefault="005C5FAF" w:rsidP="005C5FAF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5C5FAF">
              <w:rPr>
                <w:bCs/>
                <w:lang w:val="uk-UA"/>
              </w:rPr>
              <w:t>2</w:t>
            </w:r>
            <w:r w:rsidRPr="005C5FAF">
              <w:rPr>
                <w:bCs/>
              </w:rPr>
              <w:t>.</w:t>
            </w:r>
            <w:r w:rsidRPr="005C5FAF">
              <w:rPr>
                <w:bCs/>
                <w:lang w:val="uk-UA"/>
              </w:rPr>
              <w:t>2.2.</w:t>
            </w:r>
            <w:r w:rsidRPr="005C5FAF">
              <w:rPr>
                <w:bCs/>
              </w:rPr>
              <w:t xml:space="preserve"> </w:t>
            </w:r>
            <w:r w:rsidRPr="005C5FAF">
              <w:rPr>
                <w:rFonts w:eastAsia="Calibri"/>
                <w:lang w:eastAsia="en-US"/>
              </w:rPr>
              <w:t xml:space="preserve">На </w:t>
            </w:r>
            <w:proofErr w:type="gramStart"/>
            <w:r w:rsidRPr="005C5FAF">
              <w:rPr>
                <w:rFonts w:eastAsia="Calibri"/>
                <w:lang w:eastAsia="en-US"/>
              </w:rPr>
              <w:t>п</w:t>
            </w:r>
            <w:proofErr w:type="gramEnd"/>
            <w:r w:rsidRPr="005C5FAF">
              <w:rPr>
                <w:rFonts w:eastAsia="Calibri"/>
                <w:lang w:eastAsia="en-US"/>
              </w:rPr>
              <w:t xml:space="preserve">ідтвердження відповідної освіти та  кваліфікації працівників </w:t>
            </w:r>
            <w:r w:rsidRPr="005C5FAF">
              <w:rPr>
                <w:rFonts w:eastAsia="Calibri"/>
                <w:lang w:eastAsia="en-US"/>
              </w:rPr>
              <w:lastRenderedPageBreak/>
              <w:t>зазначених в довідці надати:</w:t>
            </w:r>
          </w:p>
          <w:p w:rsidR="005C5FAF" w:rsidRPr="005C5FAF" w:rsidRDefault="005C5FAF" w:rsidP="005C5FAF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proofErr w:type="gramStart"/>
            <w:r w:rsidRPr="005C5FAF">
              <w:rPr>
                <w:rFonts w:eastAsia="Calibri"/>
                <w:lang w:eastAsia="en-US"/>
              </w:rPr>
              <w:t>- на працівників робітничих професій надати кольорові скан-копії посвідчень та витяги з протоколу засідання кваліфікаційної атестаційної комісії перевірки знань з охорони праці (загальний курс з ОП, НПАОП 0.00-1.15-07, НПАОП 0.00-1.71-13, НПАОП 0.00-1.75-15; НПАОП 40.1-1.21-98;</w:t>
            </w:r>
            <w:proofErr w:type="gramEnd"/>
            <w:r w:rsidRPr="005C5FAF">
              <w:rPr>
                <w:rFonts w:eastAsia="Calibri"/>
                <w:lang w:eastAsia="en-US"/>
              </w:rPr>
              <w:t xml:space="preserve"> НПАОП 40.1-1.01-97, пожежної безпеки;</w:t>
            </w:r>
          </w:p>
          <w:p w:rsidR="005C5FAF" w:rsidRPr="005C5FAF" w:rsidRDefault="005C5FAF" w:rsidP="005C5FAF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5C5FAF">
              <w:rPr>
                <w:rFonts w:eastAsia="Calibri"/>
                <w:lang w:eastAsia="en-US"/>
              </w:rPr>
              <w:t xml:space="preserve">- надати на головного інженера, дипломи про освіту; на інших фахівців -  </w:t>
            </w:r>
            <w:proofErr w:type="gramStart"/>
            <w:r w:rsidRPr="005C5FAF">
              <w:rPr>
                <w:rFonts w:eastAsia="Calibri"/>
                <w:lang w:eastAsia="en-US"/>
              </w:rPr>
              <w:t>св</w:t>
            </w:r>
            <w:proofErr w:type="gramEnd"/>
            <w:r w:rsidRPr="005C5FAF">
              <w:rPr>
                <w:rFonts w:eastAsia="Calibri"/>
                <w:lang w:eastAsia="en-US"/>
              </w:rPr>
              <w:t>ідоцтва/посвідчення з додатками про присвоєння (підвищення кваліфікації) та/або дипломи відповідно займаної посади.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  <w:lang w:val="uk-UA"/>
              </w:rPr>
              <w:t>2</w:t>
            </w:r>
            <w:r w:rsidRPr="005C5FAF">
              <w:rPr>
                <w:bCs/>
              </w:rPr>
              <w:t>.</w:t>
            </w:r>
            <w:r w:rsidRPr="005C5FAF">
              <w:rPr>
                <w:bCs/>
                <w:lang w:val="uk-UA"/>
              </w:rPr>
              <w:t>2.3.</w:t>
            </w:r>
            <w:r w:rsidRPr="005C5FAF">
              <w:rPr>
                <w:bCs/>
              </w:rPr>
              <w:t xml:space="preserve"> Надати скан-копії документів, що </w:t>
            </w:r>
            <w:proofErr w:type="gramStart"/>
            <w:r w:rsidRPr="005C5FAF">
              <w:rPr>
                <w:bCs/>
              </w:rPr>
              <w:t>п</w:t>
            </w:r>
            <w:proofErr w:type="gramEnd"/>
            <w:r w:rsidRPr="005C5FAF">
              <w:rPr>
                <w:bCs/>
              </w:rPr>
              <w:t xml:space="preserve">ідтверджують працевлаштування зазначених у довідці працівників (наказів про призначення та/або копії трудових книжок працівників та/або копія трудового договору, тощо). 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</w:rPr>
              <w:t>*У разі надання на працівників наказів про призначення на роботу чи переведення на займану посаду (у разі переведення), надати скан-копію повідомлення про прийняття працівника на роботу за формою, згідно з додатком до Порядку</w:t>
            </w:r>
            <w:proofErr w:type="gramStart"/>
            <w:r w:rsidRPr="005C5FAF">
              <w:rPr>
                <w:bCs/>
              </w:rPr>
              <w:t xml:space="preserve"> П</w:t>
            </w:r>
            <w:proofErr w:type="gramEnd"/>
            <w:r w:rsidRPr="005C5FAF">
              <w:rPr>
                <w:bCs/>
              </w:rPr>
              <w:t xml:space="preserve">останови КМУ від 17.06.2015 № 413 «Про порядок повідомлення Державній податковій службі та її територіальним органам про прийняття працівника </w:t>
            </w:r>
            <w:proofErr w:type="gramStart"/>
            <w:r w:rsidRPr="005C5FAF">
              <w:rPr>
                <w:bCs/>
              </w:rPr>
              <w:t>на</w:t>
            </w:r>
            <w:proofErr w:type="gramEnd"/>
            <w:r w:rsidRPr="005C5FAF">
              <w:rPr>
                <w:bCs/>
              </w:rPr>
              <w:t xml:space="preserve"> роботу». У разі, якщо даний накази видано до набрання чинност</w:t>
            </w:r>
            <w:proofErr w:type="gramStart"/>
            <w:r w:rsidRPr="005C5FAF">
              <w:rPr>
                <w:bCs/>
              </w:rPr>
              <w:t>і П</w:t>
            </w:r>
            <w:proofErr w:type="gramEnd"/>
            <w:r w:rsidRPr="005C5FAF">
              <w:rPr>
                <w:bCs/>
              </w:rPr>
              <w:t>останови КМУ від 17.06.2015 №413 надати  копії трудових книжок.</w:t>
            </w:r>
          </w:p>
          <w:p w:rsidR="005C5FAF" w:rsidRPr="005C5FAF" w:rsidRDefault="005C5FAF" w:rsidP="005C5FAF">
            <w:pPr>
              <w:jc w:val="both"/>
              <w:rPr>
                <w:bCs/>
              </w:rPr>
            </w:pPr>
            <w:r w:rsidRPr="005C5FAF">
              <w:rPr>
                <w:bCs/>
                <w:lang w:val="uk-UA"/>
              </w:rPr>
              <w:t>2.2.4</w:t>
            </w:r>
            <w:r w:rsidRPr="005C5FAF">
              <w:rPr>
                <w:bCs/>
              </w:rPr>
              <w:t xml:space="preserve">. На </w:t>
            </w:r>
            <w:proofErr w:type="gramStart"/>
            <w:r w:rsidRPr="005C5FAF">
              <w:rPr>
                <w:bCs/>
              </w:rPr>
              <w:t>вс</w:t>
            </w:r>
            <w:proofErr w:type="gramEnd"/>
            <w:r w:rsidRPr="005C5FAF">
              <w:rPr>
                <w:bCs/>
              </w:rPr>
              <w:t>іх працівників, вказаних в довідці, надати особисті медичні книжки (форма 1-ОМК згідно наказу МОЗ України від 21.02.2013 №150).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</w:rPr>
            </w:pPr>
            <w:r w:rsidRPr="005C5FAF">
              <w:rPr>
                <w:bCs/>
                <w:lang w:val="uk-UA"/>
              </w:rPr>
              <w:t>2</w:t>
            </w:r>
            <w:r w:rsidRPr="005C5FAF">
              <w:rPr>
                <w:bCs/>
              </w:rPr>
              <w:t>.</w:t>
            </w:r>
            <w:r w:rsidRPr="005C5FAF">
              <w:rPr>
                <w:bCs/>
                <w:lang w:val="uk-UA"/>
              </w:rPr>
              <w:t>2.5.</w:t>
            </w:r>
            <w:r w:rsidRPr="005C5FAF">
              <w:rPr>
                <w:bCs/>
              </w:rPr>
              <w:t xml:space="preserve"> Наявність на </w:t>
            </w:r>
            <w:proofErr w:type="gramStart"/>
            <w:r w:rsidRPr="005C5FAF">
              <w:rPr>
                <w:bCs/>
              </w:rPr>
              <w:t>п</w:t>
            </w:r>
            <w:proofErr w:type="gramEnd"/>
            <w:r w:rsidRPr="005C5FAF">
              <w:rPr>
                <w:bCs/>
              </w:rPr>
              <w:t xml:space="preserve">ідприємстві сертифікованого інженера – проектувальника в частині кошторисної документації. Надати скан-копію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</w:t>
            </w:r>
            <w:proofErr w:type="gramStart"/>
            <w:r w:rsidRPr="005C5FAF">
              <w:rPr>
                <w:bCs/>
              </w:rPr>
              <w:t>третіми особами при здійсненні професійної діяльності (надати скан-копію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  <w:proofErr w:type="gramEnd"/>
          </w:p>
          <w:p w:rsidR="000B6B37" w:rsidRPr="005C5FAF" w:rsidRDefault="000B6B37" w:rsidP="00F540C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lastRenderedPageBreak/>
              <w:t xml:space="preserve">3. Наявність документально </w:t>
            </w:r>
            <w:proofErr w:type="gramStart"/>
            <w:r w:rsidRPr="006D1E8A">
              <w:rPr>
                <w:b/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b/>
                <w:sz w:val="25"/>
                <w:szCs w:val="25"/>
                <w:lang w:eastAsia="ar-SA"/>
              </w:rPr>
              <w:t>ідтвердженог</w:t>
            </w:r>
            <w:r w:rsidRPr="00193013">
              <w:rPr>
                <w:b/>
                <w:sz w:val="25"/>
                <w:szCs w:val="25"/>
                <w:lang w:eastAsia="ar-SA"/>
              </w:rPr>
              <w:t>о досвіду виконання аналогічних договорів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AF" w:rsidRPr="005C5FAF" w:rsidRDefault="000B6B37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>3.1.</w:t>
            </w:r>
            <w:r w:rsidR="005C5FAF" w:rsidRPr="005C5FAF">
              <w:rPr>
                <w:bCs/>
                <w:sz w:val="22"/>
                <w:szCs w:val="22"/>
                <w:lang w:val="uk-UA"/>
              </w:rPr>
              <w:t>1</w:t>
            </w:r>
            <w:r w:rsidR="005C5FAF" w:rsidRPr="005C5FAF">
              <w:rPr>
                <w:bCs/>
                <w:sz w:val="22"/>
                <w:szCs w:val="22"/>
              </w:rPr>
              <w:t xml:space="preserve">. Довідка у довільній формі на фірмовому бланку*, у якій має бути наведена інформація про досвід виконання </w:t>
            </w:r>
            <w:proofErr w:type="gramStart"/>
            <w:r w:rsidR="005C5FAF" w:rsidRPr="005C5FAF">
              <w:rPr>
                <w:bCs/>
                <w:sz w:val="22"/>
                <w:szCs w:val="22"/>
              </w:rPr>
              <w:t>п</w:t>
            </w:r>
            <w:proofErr w:type="gramEnd"/>
            <w:r w:rsidR="005C5FAF" w:rsidRPr="005C5FAF">
              <w:rPr>
                <w:bCs/>
                <w:sz w:val="22"/>
                <w:szCs w:val="22"/>
              </w:rPr>
              <w:t xml:space="preserve">ідприємством аналогічного договору з обов’язковим назначеним (№ договору, назви предмету договору, терміну виконання договору, номери телефонів Замовника, вартість виконаних робіт). 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 xml:space="preserve">На </w:t>
            </w:r>
            <w:proofErr w:type="gramStart"/>
            <w:r w:rsidRPr="005C5FAF">
              <w:rPr>
                <w:bCs/>
                <w:sz w:val="22"/>
                <w:szCs w:val="22"/>
              </w:rPr>
              <w:t>п</w:t>
            </w:r>
            <w:proofErr w:type="gramEnd"/>
            <w:r w:rsidRPr="005C5FAF">
              <w:rPr>
                <w:bCs/>
                <w:sz w:val="22"/>
                <w:szCs w:val="22"/>
              </w:rPr>
              <w:t>ідтвердження виконання аналогічного договору надається: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 xml:space="preserve">-  копію повністю виконаного аналогічного договору. 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>Аналогічний догові</w:t>
            </w:r>
            <w:proofErr w:type="gramStart"/>
            <w:r w:rsidRPr="005C5FAF">
              <w:rPr>
                <w:bCs/>
                <w:sz w:val="22"/>
                <w:szCs w:val="22"/>
              </w:rPr>
              <w:t>р</w:t>
            </w:r>
            <w:proofErr w:type="gramEnd"/>
            <w:r w:rsidRPr="005C5FAF">
              <w:rPr>
                <w:bCs/>
                <w:sz w:val="22"/>
                <w:szCs w:val="22"/>
              </w:rPr>
              <w:t xml:space="preserve">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 xml:space="preserve">Разом із аналогічним договором на </w:t>
            </w:r>
            <w:proofErr w:type="gramStart"/>
            <w:r w:rsidRPr="005C5FAF">
              <w:rPr>
                <w:bCs/>
                <w:sz w:val="22"/>
                <w:szCs w:val="22"/>
              </w:rPr>
              <w:t>п</w:t>
            </w:r>
            <w:proofErr w:type="gramEnd"/>
            <w:r w:rsidRPr="005C5FAF">
              <w:rPr>
                <w:bCs/>
                <w:sz w:val="22"/>
                <w:szCs w:val="22"/>
              </w:rPr>
              <w:t xml:space="preserve">ідтвердження його виконання учасники зобов’язані надати акти виконаних робіт та/або акти приймання-передачі виконаних робіт (послуг)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 xml:space="preserve">Надати Скан-копію листа-відгуку про виконання учасником аналогічного договору на фірмовому бланку, належно оформлений, (повинен містити інформацію про роботи, які виконувалися, вихідний номер, дату, </w:t>
            </w:r>
            <w:proofErr w:type="gramStart"/>
            <w:r w:rsidRPr="005C5FAF">
              <w:rPr>
                <w:bCs/>
                <w:sz w:val="22"/>
                <w:szCs w:val="22"/>
              </w:rPr>
              <w:t>п</w:t>
            </w:r>
            <w:proofErr w:type="gramEnd"/>
            <w:r w:rsidRPr="005C5FAF">
              <w:rPr>
                <w:bCs/>
                <w:sz w:val="22"/>
                <w:szCs w:val="22"/>
              </w:rPr>
              <w:t>ідпис уповноваженої особи, відбиток печатки (якщо печатка передбачена для даного підприємства).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 xml:space="preserve">Примітка: </w:t>
            </w:r>
            <w:proofErr w:type="gramStart"/>
            <w:r w:rsidRPr="005C5FAF">
              <w:rPr>
                <w:bCs/>
                <w:sz w:val="22"/>
                <w:szCs w:val="22"/>
              </w:rPr>
              <w:t>п</w:t>
            </w:r>
            <w:proofErr w:type="gramEnd"/>
            <w:r w:rsidRPr="005C5FAF">
              <w:rPr>
                <w:bCs/>
                <w:sz w:val="22"/>
                <w:szCs w:val="22"/>
              </w:rPr>
              <w:t>ід аналогічним договором розуміється договір, у якому предметом договору є виконання робіт, відповідно предмету закупівлі (виконання робіт\надання послуг, подібних визначених у технічному завданні).</w:t>
            </w:r>
          </w:p>
          <w:p w:rsidR="005C5FAF" w:rsidRPr="005C5FAF" w:rsidRDefault="005C5FAF" w:rsidP="005C5FA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>Аналогічний догові</w:t>
            </w:r>
            <w:proofErr w:type="gramStart"/>
            <w:r w:rsidRPr="005C5FAF">
              <w:rPr>
                <w:bCs/>
                <w:sz w:val="22"/>
                <w:szCs w:val="22"/>
              </w:rPr>
              <w:t>р</w:t>
            </w:r>
            <w:proofErr w:type="gramEnd"/>
            <w:r w:rsidRPr="005C5FAF">
              <w:rPr>
                <w:bCs/>
                <w:sz w:val="22"/>
                <w:szCs w:val="22"/>
              </w:rPr>
              <w:t xml:space="preserve"> – договір, який повністю відповідає наступним вимогам: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>- укладений між сторонами, предметом закупі</w:t>
            </w:r>
            <w:proofErr w:type="gramStart"/>
            <w:r w:rsidRPr="005C5FAF">
              <w:rPr>
                <w:bCs/>
                <w:sz w:val="22"/>
                <w:szCs w:val="22"/>
              </w:rPr>
              <w:t>вл</w:t>
            </w:r>
            <w:proofErr w:type="gramEnd"/>
            <w:r w:rsidRPr="005C5FAF">
              <w:rPr>
                <w:bCs/>
                <w:sz w:val="22"/>
                <w:szCs w:val="22"/>
              </w:rPr>
              <w:t>і якого є предмет закупівлі даних торгів;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lastRenderedPageBreak/>
              <w:t>- сторонами визначена ці</w:t>
            </w:r>
            <w:proofErr w:type="gramStart"/>
            <w:r w:rsidRPr="005C5FAF">
              <w:rPr>
                <w:bCs/>
                <w:sz w:val="22"/>
                <w:szCs w:val="22"/>
              </w:rPr>
              <w:t>на</w:t>
            </w:r>
            <w:proofErr w:type="gramEnd"/>
            <w:r w:rsidRPr="005C5FAF">
              <w:rPr>
                <w:bCs/>
                <w:sz w:val="22"/>
                <w:szCs w:val="22"/>
              </w:rPr>
              <w:t xml:space="preserve"> договору;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bCs/>
                <w:sz w:val="22"/>
                <w:szCs w:val="22"/>
              </w:rPr>
              <w:t>- сторонами встановлений строк дії договору.</w:t>
            </w:r>
          </w:p>
          <w:p w:rsidR="000B6B37" w:rsidRPr="005C5FAF" w:rsidRDefault="000B6B37" w:rsidP="00F540C0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B6B37" w:rsidRPr="006D1E8A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6D1E8A" w:rsidRDefault="005C5FAF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>
              <w:rPr>
                <w:b/>
                <w:sz w:val="25"/>
                <w:szCs w:val="25"/>
                <w:lang w:val="uk-UA" w:eastAsia="ar-SA"/>
              </w:rPr>
              <w:lastRenderedPageBreak/>
              <w:t>4</w:t>
            </w:r>
            <w:r w:rsidR="000B6B37" w:rsidRPr="006D1E8A">
              <w:rPr>
                <w:b/>
                <w:sz w:val="25"/>
                <w:szCs w:val="25"/>
                <w:lang w:eastAsia="ar-SA"/>
              </w:rPr>
              <w:t>. Інше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C5FAF">
              <w:rPr>
                <w:rFonts w:eastAsia="Calibri"/>
                <w:sz w:val="22"/>
                <w:szCs w:val="22"/>
                <w:lang w:val="uk-UA" w:eastAsia="ar-SA"/>
              </w:rPr>
              <w:t>4.1.1.</w:t>
            </w:r>
            <w:r w:rsidRPr="005C5FAF">
              <w:rPr>
                <w:bCs/>
                <w:sz w:val="22"/>
                <w:szCs w:val="22"/>
              </w:rPr>
              <w:t xml:space="preserve"> Чинний статут (його копія) або інший установчий документ учасника (його копія) (або учасник може надати довідку </w:t>
            </w:r>
            <w:proofErr w:type="gramStart"/>
            <w:r w:rsidRPr="005C5FAF">
              <w:rPr>
                <w:bCs/>
                <w:sz w:val="22"/>
                <w:szCs w:val="22"/>
              </w:rPr>
              <w:t>в дов</w:t>
            </w:r>
            <w:proofErr w:type="gramEnd"/>
            <w:r w:rsidRPr="005C5FAF">
              <w:rPr>
                <w:bCs/>
                <w:sz w:val="22"/>
                <w:szCs w:val="22"/>
              </w:rPr>
              <w:t>ільній формі із зазначенням коду адміністративних послуг, за яким можна отримати доступ до чинних установчих документів учасника на веб-порталі Міністерства юстиції https://usr.minjust.gov.ua/ua/freesearch) – для учасників юридичних осі</w:t>
            </w:r>
            <w:proofErr w:type="gramStart"/>
            <w:r w:rsidRPr="005C5FAF">
              <w:rPr>
                <w:bCs/>
                <w:sz w:val="22"/>
                <w:szCs w:val="22"/>
              </w:rPr>
              <w:t>б</w:t>
            </w:r>
            <w:proofErr w:type="gramEnd"/>
            <w:r w:rsidRPr="005C5FAF">
              <w:rPr>
                <w:bCs/>
                <w:sz w:val="22"/>
                <w:szCs w:val="22"/>
              </w:rPr>
              <w:t>.</w:t>
            </w:r>
          </w:p>
          <w:p w:rsidR="000B6B37" w:rsidRPr="005C5FAF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5C5FAF" w:rsidRDefault="005C5FAF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iCs/>
          <w:sz w:val="25"/>
          <w:szCs w:val="25"/>
          <w:lang w:val="uk-UA" w:eastAsia="ar-SA"/>
        </w:rPr>
      </w:pPr>
    </w:p>
    <w:p w:rsidR="005C5FAF" w:rsidRPr="005C5FAF" w:rsidRDefault="005C5FAF" w:rsidP="005C5FAF">
      <w:pPr>
        <w:shd w:val="clear" w:color="auto" w:fill="FFFFFF"/>
        <w:ind w:firstLine="708"/>
        <w:jc w:val="both"/>
        <w:rPr>
          <w:b/>
          <w:bCs/>
          <w:i/>
          <w:sz w:val="28"/>
          <w:szCs w:val="28"/>
        </w:rPr>
      </w:pPr>
      <w:r w:rsidRPr="005C5FAF">
        <w:rPr>
          <w:b/>
          <w:bCs/>
          <w:i/>
          <w:sz w:val="28"/>
          <w:szCs w:val="28"/>
        </w:rPr>
        <w:t>При наданні документів, Учасник може не показувати відомості, які можуть становити комерційну таємницю.</w:t>
      </w:r>
    </w:p>
    <w:p w:rsidR="005C5FAF" w:rsidRPr="005C5FAF" w:rsidRDefault="005C5FAF" w:rsidP="005C5FA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sz w:val="28"/>
          <w:szCs w:val="28"/>
          <w:lang w:val="uk-UA"/>
        </w:rPr>
      </w:pPr>
      <w:r w:rsidRPr="005C5FAF">
        <w:rPr>
          <w:b/>
          <w:bCs/>
          <w:i/>
          <w:sz w:val="28"/>
          <w:szCs w:val="28"/>
        </w:rPr>
        <w:t>* при наявності такого бланку</w:t>
      </w:r>
    </w:p>
    <w:p w:rsidR="005C5FAF" w:rsidRPr="005C5FAF" w:rsidRDefault="005C5FAF" w:rsidP="005C5FA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iCs/>
          <w:sz w:val="25"/>
          <w:szCs w:val="25"/>
          <w:lang w:val="uk-UA" w:eastAsia="ar-SA"/>
        </w:rPr>
      </w:pPr>
    </w:p>
    <w:p w:rsidR="000B6B37" w:rsidRDefault="000B6B37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6D1E8A">
        <w:rPr>
          <w:b/>
          <w:bCs/>
          <w:i/>
          <w:iCs/>
          <w:sz w:val="25"/>
          <w:szCs w:val="25"/>
          <w:lang w:eastAsia="ar-SA"/>
        </w:rPr>
        <w:t xml:space="preserve">Усі документи, які подаються учасником, зокрема </w:t>
      </w:r>
      <w:proofErr w:type="gramStart"/>
      <w:r w:rsidRPr="006D1E8A">
        <w:rPr>
          <w:b/>
          <w:bCs/>
          <w:i/>
          <w:iCs/>
          <w:sz w:val="25"/>
          <w:szCs w:val="25"/>
          <w:lang w:eastAsia="ar-SA"/>
        </w:rPr>
        <w:t>скан</w:t>
      </w:r>
      <w:r>
        <w:rPr>
          <w:b/>
          <w:bCs/>
          <w:i/>
          <w:iCs/>
          <w:sz w:val="25"/>
          <w:szCs w:val="25"/>
          <w:lang w:eastAsia="ar-SA"/>
        </w:rPr>
        <w:t>-</w:t>
      </w:r>
      <w:r w:rsidRPr="006D1E8A">
        <w:rPr>
          <w:b/>
          <w:bCs/>
          <w:i/>
          <w:iCs/>
          <w:sz w:val="25"/>
          <w:szCs w:val="25"/>
          <w:lang w:eastAsia="ar-SA"/>
        </w:rPr>
        <w:t>коп</w:t>
      </w:r>
      <w:proofErr w:type="gramEnd"/>
      <w:r w:rsidRPr="006D1E8A">
        <w:rPr>
          <w:b/>
          <w:bCs/>
          <w:i/>
          <w:iCs/>
          <w:sz w:val="25"/>
          <w:szCs w:val="25"/>
          <w:lang w:eastAsia="ar-SA"/>
        </w:rPr>
        <w:t xml:space="preserve">ії оригіналів повинні надаватись у повному обсязі (копія повинна містити усі сторінки відповідного документа). </w:t>
      </w:r>
      <w:r w:rsidRPr="00193013">
        <w:rPr>
          <w:b/>
          <w:bCs/>
          <w:i/>
          <w:iCs/>
          <w:sz w:val="25"/>
          <w:szCs w:val="25"/>
          <w:lang w:eastAsia="ar-SA"/>
        </w:rPr>
        <w:t xml:space="preserve">Якщо будь-який із документів не може бути наданий з причин його втрати чинності або зміни форми, назви тощо, учасник надає інший </w:t>
      </w:r>
      <w:proofErr w:type="gramStart"/>
      <w:r w:rsidRPr="00193013">
        <w:rPr>
          <w:b/>
          <w:bCs/>
          <w:i/>
          <w:iCs/>
          <w:sz w:val="25"/>
          <w:szCs w:val="25"/>
          <w:lang w:eastAsia="ar-SA"/>
        </w:rPr>
        <w:t>р</w:t>
      </w:r>
      <w:proofErr w:type="gramEnd"/>
      <w:r w:rsidRPr="00193013">
        <w:rPr>
          <w:b/>
          <w:bCs/>
          <w:i/>
          <w:iCs/>
          <w:sz w:val="25"/>
          <w:szCs w:val="25"/>
          <w:lang w:eastAsia="ar-SA"/>
        </w:rPr>
        <w:t>івнозначний документ та письмове пояснення.</w:t>
      </w:r>
    </w:p>
    <w:p w:rsidR="000B6B37" w:rsidRPr="000B6B37" w:rsidRDefault="000B6B37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sectPr w:rsidR="000B6B37" w:rsidRPr="000B6B37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E6" w:rsidRDefault="006F0DE6" w:rsidP="00401AF0">
      <w:r>
        <w:separator/>
      </w:r>
    </w:p>
  </w:endnote>
  <w:endnote w:type="continuationSeparator" w:id="0">
    <w:p w:rsidR="006F0DE6" w:rsidRDefault="006F0DE6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B11440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5C5FAF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5C5F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E6" w:rsidRDefault="006F0DE6" w:rsidP="00401AF0">
      <w:r>
        <w:separator/>
      </w:r>
    </w:p>
  </w:footnote>
  <w:footnote w:type="continuationSeparator" w:id="0">
    <w:p w:rsidR="006F0DE6" w:rsidRDefault="006F0DE6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B6B37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C5FAF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0DE6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96FCC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11440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List Paragraph (numbered (a)) Знак,List_Paragraph Знак,Multilevel para_II Знак,List Paragraph-ExecSummary Знак,Akapit z listą BS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9804-2ED5-47E2-B2CD-E209041A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2023-09-05T06:41:00Z</cp:lastPrinted>
  <dcterms:created xsi:type="dcterms:W3CDTF">2023-01-16T09:18:00Z</dcterms:created>
  <dcterms:modified xsi:type="dcterms:W3CDTF">2024-04-19T12:01:00Z</dcterms:modified>
</cp:coreProperties>
</file>