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ar-SA"/>
        </w:rPr>
        <w:t>Додаток № 2</w:t>
      </w:r>
    </w:p>
    <w:p>
      <w:pPr>
        <w:pStyle w:val="Normal"/>
        <w:jc w:val="righ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до тендерної документації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закупівлі.</w:t>
      </w:r>
    </w:p>
    <w:p>
      <w:pPr>
        <w:pStyle w:val="Normal"/>
        <w:widowControl w:val="false"/>
        <w:tabs>
          <w:tab w:val="clear" w:pos="708"/>
          <w:tab w:val="center" w:pos="-2127" w:leader="none"/>
          <w:tab w:val="center" w:pos="7655" w:leader="none"/>
        </w:tabs>
        <w:ind w:right="657" w:firstLine="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kern w:val="2"/>
          <w:sz w:val="24"/>
          <w:szCs w:val="24"/>
        </w:rPr>
        <w:t>Код ДК 021:2015 – 85140000-2 - Послуги у сфері охорони здоров’я (</w:t>
      </w:r>
      <w:r>
        <w:rPr>
          <w:rFonts w:cs="Times New Roman" w:ascii="Times New Roman" w:hAnsi="Times New Roman"/>
          <w:b/>
          <w:sz w:val="24"/>
          <w:szCs w:val="24"/>
        </w:rPr>
        <w:t xml:space="preserve">Біохімічний скринінг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 триместру; Біохімічний скринінг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 триместру)</w:t>
      </w:r>
    </w:p>
    <w:p>
      <w:pPr>
        <w:pStyle w:val="Normal"/>
        <w:tabs>
          <w:tab w:val="clear" w:pos="708"/>
          <w:tab w:val="left" w:pos="4820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Надання лабораторних послуг, що включені до пакету Програми медичних гарантій НСЗУ «Ведення вагітності в амбулаторних умовах»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2695"/>
        <w:gridCol w:w="3826"/>
        <w:gridCol w:w="1418"/>
        <w:gridCol w:w="1560"/>
      </w:tblGrid>
      <w:tr>
        <w:trPr>
          <w:trHeight w:val="354" w:hRule="atLeast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Біохімічний скринінг з розрахунком індивідуального ризику жінки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щодо хромосомних аномалій та певних вад розвитку плоду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542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val="ru-RU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Деталізований CPV код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</w:tr>
      <w:tr>
        <w:trPr>
          <w:trHeight w:val="2496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Біохімічний скринінг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 триместру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триместр (11-13 тижнів)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Batang" w:cs="Times New Roman" w:ascii="Times New Roman" w:hAnsi="Times New Roman"/>
                <w:bCs/>
                <w:sz w:val="24"/>
                <w:szCs w:val="24"/>
                <w:lang w:val="ru-RU"/>
              </w:rPr>
              <w:t>плазмовий протеїн А (PAPP-A)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Batang" w:cs="Times New Roman" w:ascii="Times New Roman" w:hAnsi="Times New Roman"/>
                <w:bCs/>
                <w:sz w:val="24"/>
                <w:szCs w:val="24"/>
                <w:lang w:val="ru-RU"/>
              </w:rPr>
              <w:t>- хоріонічний гонадотропін (β-ХГЛ вільний)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Batang" w:cs="Times New Roman" w:ascii="Times New Roman" w:hAnsi="Times New Roman"/>
                <w:bCs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>
        <w:trPr>
          <w:trHeight w:val="729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firstLine="34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Біохімічний скринінг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 триместру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II триместр (16-21 тиждень)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- альфафетопротеїн (AFP)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/>
              </w:rPr>
              <w:t>хоріонічний гонадотропін (β-ХГЛ)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Batang" w:cs="Times New Roman" w:ascii="Times New Roman" w:hAnsi="Times New Roman"/>
                <w:bCs/>
                <w:sz w:val="24"/>
                <w:szCs w:val="24"/>
                <w:lang w:val="ru-RU"/>
              </w:rPr>
              <w:t>некон’югований естріол (Е3)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70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Batang" w:cs="Times New Roman"/>
          <w:b/>
          <w:b/>
          <w:sz w:val="24"/>
          <w:szCs w:val="24"/>
        </w:rPr>
      </w:pPr>
      <w:r>
        <w:rPr>
          <w:rFonts w:eastAsia="Batang" w:cs="Times New Roman" w:ascii="Times New Roman" w:hAnsi="Times New Roman"/>
          <w:b/>
          <w:sz w:val="24"/>
          <w:szCs w:val="24"/>
        </w:rPr>
      </w:r>
    </w:p>
    <w:p>
      <w:pPr>
        <w:pStyle w:val="Normal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Інформація про технічні та якісні характеристики предмету закупівлі</w:t>
      </w:r>
    </w:p>
    <w:tbl>
      <w:tblPr>
        <w:tblStyle w:val="10"/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4748"/>
        <w:gridCol w:w="4747"/>
      </w:tblGrid>
      <w:tr>
        <w:trPr/>
        <w:tc>
          <w:tcPr>
            <w:tcW w:w="4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47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Вимоги</w:t>
            </w:r>
          </w:p>
        </w:tc>
        <w:tc>
          <w:tcPr>
            <w:tcW w:w="47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Відповідність вимогам</w:t>
            </w:r>
          </w:p>
          <w:p>
            <w:pPr>
              <w:pStyle w:val="Normal"/>
              <w:widowControl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(зазначити відповідність)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7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Ліцензія МОЗ України на «Медичну практику», при обов’язковій необхідності для проведення таких досліджень.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74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Графік роботи закладу;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74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Контактні дані закладу, де буде здійснюватися відповідні обстеження.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4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Розміщення лабораторії / філіалу / точки забору в м. Городенка, в якому проводяться   лабораторні послуги має бути не більше ніж 3,0-5,0 км від місцезнаходження Замовника, тобто м. Городенка, вул. Шептицького, 24-е.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0" w:leader="none"/>
              </w:tabs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b/>
          <w:spacing w:val="-8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Надати лист – підтвердження, що Виконавець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гарантує належну якість послуги, згідно стандартам та вимогам, затвердженим  Міністерством охорони здоров’я України 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2.</w:t>
        <w:tab/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Надати лист – погодження, що у Виконавця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буде можливість надавати послугу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(проводити забір біологічного матеріалу,</w:t>
      </w:r>
      <w:r>
        <w:rPr>
          <w:rFonts w:eastAsia="Lucida Sans Unicode" w:cs="Times New Roman" w:ascii="Times New Roman" w:hAnsi="Times New Roman"/>
          <w:i/>
          <w:kern w:val="2"/>
          <w:sz w:val="24"/>
          <w:szCs w:val="24"/>
          <w:lang w:bidi="hi-IN"/>
        </w:rPr>
        <w:t xml:space="preserve"> в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артість пробірки для крові, одноразові голки, спиртові серветки, антисептичний засіб тощо, входить до вартості забору)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у своїй лабораторії / філіалі / точки забору в м. Городенка, такі послуги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bidi="hi-IN"/>
        </w:rPr>
        <w:t xml:space="preserve"> включені до пакету Програми медичних гарантій НСЗУ «Ведення вагітності в амбулаторних умовах»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Надати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копію 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відповідних сертифікатів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*, що підтверджують виконання послуг відповідно до стандартів якості та іншим нормативним документам, затвердженим МОЗ України та чинним законодавством України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копію чинної 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ліцензії*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 медичну практику, а саме: клінічна лабораторна діагностика та копію чинного 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копію 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свідоцтва про державну реєстрацію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 реагенти та тест-системи*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які застосовуються при проведені лабораторних досліджень та підлягають державній реєстрації в Україні та сертифікати якості що видаються виробником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6.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гарантійний лист, що матеріали для надання послуг, що є предметом даної закупівлі, дозволені до використання в медичній практиці МОЗ України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7.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довідку в довільній формі, щодо 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bidi="hi-IN"/>
        </w:rPr>
        <w:t>лабораторне обладнання для біохімічного скринінгу і програмне забезпечення для розрахунку індивідуального ризику вагітної, які відповідають вимогам Постанови КМУ від 02.10.2013 р. №754 «Про затвердження технічного регламенту щодо медичних виробів для діагностики in vitro»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яке буде використовуватися для проведення досліджень та завірені належним чином копії відповідних документів щодо повірки цього обладнання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;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b/>
          <w:b/>
          <w:sz w:val="24"/>
          <w:szCs w:val="24"/>
          <w:lang w:eastAsia="ar-SA"/>
        </w:rPr>
      </w:pPr>
      <w:r>
        <w:rPr>
          <w:rFonts w:eastAsia="Times New Roman" w:cs="Times New Roman CYR" w:ascii="Times New Roman CYR" w:hAnsi="Times New Roman CYR"/>
          <w:b/>
          <w:sz w:val="24"/>
          <w:szCs w:val="24"/>
          <w:lang w:eastAsia="ar-SA"/>
        </w:rPr>
        <w:t xml:space="preserve">         </w:t>
      </w:r>
      <w:r>
        <w:rPr>
          <w:rFonts w:eastAsia="Times New Roman" w:cs="Times New Roman CYR" w:ascii="Times New Roman CYR" w:hAnsi="Times New Roman CYR"/>
          <w:b/>
          <w:sz w:val="24"/>
          <w:szCs w:val="24"/>
          <w:lang w:eastAsia="ar-SA"/>
        </w:rPr>
        <w:t>8. Надати лист інформацію щодо порядку проведення лабораторних досліджень, а саме: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иконання лабораторних досліджень буде проводитись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</w:rPr>
        <w:t>протягом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</w:rPr>
        <w:t>чотирьох робочих днів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 з моменту отримання лабораторією біологічного матеріалу.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Результати лабораторних досліджень будуть надаватися в електронному варіанті протягом чотирьох робочих днів з моменту отримання біологічного матеріалу. 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Видача результатів лабораторних досліджень у паперовому вигляді буде здійснюватися протягом чотирьох робочих днів з моменту отримання біологічного матеріалу за рахунок Виконавця.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Виконавець несе відповідальність за достовірність проведених досліджень у разі, якщо результати виявляться недостовірними Виконавець зобов'язується провести повторне дослідження за свій рахунок.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pacing w:val="-8"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 Надати лист – підтвердження, що Виконавець має </w:t>
      </w:r>
      <w:r>
        <w:rPr>
          <w:rFonts w:eastAsia="Arial" w:cs="Times New Roman" w:ascii="Times New Roman" w:hAnsi="Times New Roman"/>
          <w:kern w:val="2"/>
          <w:sz w:val="24"/>
          <w:szCs w:val="24"/>
          <w:lang w:bidi="hi-IN"/>
        </w:rPr>
        <w:t>реєстрацію в електронній системі охорони здоров’я eHealth.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sz w:val="24"/>
          <w:szCs w:val="24"/>
          <w:u w:val="single"/>
          <w:lang w:eastAsia="ar-SA"/>
        </w:rPr>
      </w:pPr>
      <w:r>
        <w:rPr>
          <w:rFonts w:eastAsia="Times New Roman" w:cs="Times New Roman CYR" w:ascii="Times New Roman CYR" w:hAnsi="Times New Roman CYR"/>
          <w:sz w:val="24"/>
          <w:szCs w:val="24"/>
          <w:u w:val="single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sz w:val="24"/>
          <w:szCs w:val="24"/>
          <w:u w:val="single"/>
          <w:lang w:eastAsia="ar-SA"/>
        </w:rPr>
      </w:pPr>
      <w:r>
        <w:rPr>
          <w:rFonts w:eastAsia="Times New Roman" w:cs="Times New Roman CYR" w:ascii="Times New Roman CYR" w:hAnsi="Times New Roman CYR"/>
          <w:sz w:val="24"/>
          <w:szCs w:val="24"/>
          <w:u w:val="single"/>
          <w:lang w:eastAsia="ar-SA"/>
        </w:rPr>
      </w:r>
    </w:p>
    <w:p>
      <w:pPr>
        <w:pStyle w:val="1"/>
        <w:widowControl w:val="fals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0a1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uiPriority w:val="99"/>
    <w:qFormat/>
    <w:rsid w:val="00770a1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ru-RU" w:val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70a15"/>
    <w:pPr>
      <w:spacing w:after="0" w:line="240" w:lineRule="auto"/>
    </w:pPr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2</Pages>
  <Words>559</Words>
  <Characters>3838</Characters>
  <CharactersWithSpaces>4459</CharactersWithSpaces>
  <Paragraphs>56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2023-09-30T08:20:00Z</dcterms:created>
  <dc:creator>RePack by Diakov</dc:creator>
  <dc:description/>
  <dc:language>uk-UA</dc:language>
  <cp:lastModifiedBy/>
  <dcterms:modified xsi:type="dcterms:W3CDTF">2023-10-02T14:35:17Z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