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0024A7" w:rsidRPr="009304AF" w:rsidRDefault="000024A7" w:rsidP="000024A7">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ЗАТВЕРДЖЕНО</w:t>
      </w:r>
    </w:p>
    <w:p w:rsidR="000024A7" w:rsidRPr="009304AF" w:rsidRDefault="000024A7" w:rsidP="000024A7">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Уповноваженою особою</w:t>
      </w:r>
    </w:p>
    <w:p w:rsidR="000024A7" w:rsidRPr="009304AF" w:rsidRDefault="000024A7" w:rsidP="000024A7">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________________ Світлана ФЕДОРЕНКО</w:t>
      </w:r>
    </w:p>
    <w:p w:rsidR="000024A7" w:rsidRPr="009304AF" w:rsidRDefault="000024A7" w:rsidP="000024A7">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 xml:space="preserve">за рішенням уповноваженої особи, </w:t>
      </w:r>
    </w:p>
    <w:p w:rsidR="000024A7" w:rsidRPr="00FF3026" w:rsidRDefault="000024A7" w:rsidP="000024A7">
      <w:pPr>
        <w:widowControl w:val="0"/>
        <w:spacing w:after="0" w:line="240" w:lineRule="auto"/>
        <w:jc w:val="right"/>
        <w:rPr>
          <w:rFonts w:ascii="Times New Roman" w:eastAsia="Times New Roman" w:hAnsi="Times New Roman" w:cs="Times New Roman"/>
          <w:b/>
          <w:color w:val="000000"/>
          <w:sz w:val="24"/>
          <w:szCs w:val="24"/>
          <w:lang w:val="ru-RU"/>
        </w:rPr>
      </w:pPr>
      <w:r w:rsidRPr="009304AF">
        <w:rPr>
          <w:rFonts w:ascii="Times New Roman" w:eastAsia="SimSun" w:hAnsi="Times New Roman" w:cs="Times New Roman"/>
          <w:b/>
          <w:sz w:val="24"/>
          <w:szCs w:val="24"/>
          <w:lang w:val="ru-RU" w:eastAsia="ru-RU"/>
        </w:rPr>
        <w:t xml:space="preserve">                                                               </w:t>
      </w:r>
      <w:r>
        <w:rPr>
          <w:rFonts w:ascii="Times New Roman" w:eastAsia="SimSun" w:hAnsi="Times New Roman" w:cs="Times New Roman"/>
          <w:b/>
          <w:sz w:val="24"/>
          <w:szCs w:val="24"/>
          <w:lang w:val="ru-RU" w:eastAsia="ru-RU"/>
        </w:rPr>
        <w:t xml:space="preserve">         згідно з протоколом №29</w:t>
      </w:r>
      <w:r w:rsidRPr="009304AF">
        <w:rPr>
          <w:rFonts w:ascii="Times New Roman" w:eastAsia="SimSun" w:hAnsi="Times New Roman" w:cs="Times New Roman"/>
          <w:b/>
          <w:sz w:val="24"/>
          <w:szCs w:val="24"/>
          <w:lang w:val="ru-RU" w:eastAsia="ru-RU"/>
        </w:rPr>
        <w:t xml:space="preserve"> від 22.04.2024 року</w:t>
      </w:r>
    </w:p>
    <w:p w:rsidR="00ED6E01" w:rsidRPr="00FF3026" w:rsidRDefault="00ED6E01" w:rsidP="00ED6E01">
      <w:pPr>
        <w:widowControl w:val="0"/>
        <w:spacing w:after="0" w:line="240" w:lineRule="auto"/>
        <w:jc w:val="center"/>
        <w:rPr>
          <w:rFonts w:ascii="Times New Roman" w:eastAsia="Times New Roman" w:hAnsi="Times New Roman" w:cs="Times New Roman"/>
          <w:b/>
          <w:color w:val="000000"/>
          <w:sz w:val="24"/>
          <w:szCs w:val="24"/>
          <w:lang w:val="ru-RU"/>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sidRPr="00FF3026">
        <w:rPr>
          <w:rFonts w:ascii="Times New Roman" w:eastAsia="Times New Roman" w:hAnsi="Times New Roman" w:cs="Times New Roman"/>
          <w:b/>
          <w:spacing w:val="-3"/>
          <w:sz w:val="28"/>
          <w:szCs w:val="28"/>
          <w:lang w:val="ru-RU" w:eastAsia="en-US"/>
        </w:rPr>
        <w:t>"</w:t>
      </w:r>
      <w:r w:rsidR="00A52CE8" w:rsidRPr="00A52CE8">
        <w:t xml:space="preserve"> </w:t>
      </w:r>
      <w:r w:rsidR="00A52CE8" w:rsidRPr="00A52CE8">
        <w:rPr>
          <w:rFonts w:ascii="Times New Roman" w:eastAsia="Times New Roman" w:hAnsi="Times New Roman" w:cs="Times New Roman"/>
          <w:b/>
          <w:spacing w:val="-3"/>
          <w:sz w:val="28"/>
          <w:szCs w:val="28"/>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FF3026">
        <w:rPr>
          <w:rFonts w:ascii="Times New Roman" w:eastAsia="Times New Roman" w:hAnsi="Times New Roman" w:cs="Times New Roman"/>
          <w:b/>
          <w:spacing w:val="-3"/>
          <w:sz w:val="28"/>
          <w:szCs w:val="28"/>
          <w:lang w:val="ru-RU" w:eastAsia="en-US"/>
        </w:rPr>
        <w:t>"</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м.Чорноморськ</w:t>
      </w:r>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r w:rsidRPr="00F64395">
              <w:rPr>
                <w:rFonts w:ascii="Times New Roman" w:eastAsia="Times New Roman" w:hAnsi="Times New Roman" w:cs="Times New Roman"/>
                <w:color w:val="000000"/>
                <w:sz w:val="24"/>
                <w:szCs w:val="24"/>
                <w:lang w:val="ru-RU" w:eastAsia="ru-RU"/>
              </w:rPr>
              <w:t>Управління освіти Чорноморської міської ради Одеського району  Одеської області</w:t>
            </w:r>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68001, Україна, Одеська область, м. Чорноморськ, вул. Хантадзе,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0024A7" w:rsidP="00E00081">
            <w:pPr>
              <w:spacing w:after="0" w:line="240" w:lineRule="auto"/>
              <w:jc w:val="both"/>
              <w:rPr>
                <w:rFonts w:ascii="Times New Roman" w:eastAsia="Times New Roman" w:hAnsi="Times New Roman" w:cs="Times New Roman"/>
                <w:i/>
                <w:color w:val="FF0000"/>
                <w:sz w:val="24"/>
                <w:szCs w:val="24"/>
                <w:highlight w:val="yellow"/>
              </w:rPr>
            </w:pPr>
            <w:r w:rsidRPr="000024A7">
              <w:rPr>
                <w:rFonts w:ascii="Times New Roman" w:eastAsia="Times New Roman" w:hAnsi="Times New Roman" w:cs="Times New Roman"/>
                <w:lang w:eastAsia="ru-RU"/>
              </w:rPr>
              <w:t>Світлана ФЕДОРЕНКО - фахівець з публічних закупівель, тел./факс (04868)46831    9miskvo9@ukr.net або через електрону систему публічних закупівель «Prozorro»</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w:t>
            </w:r>
            <w:r w:rsidR="00A52CE8">
              <w:t xml:space="preserve"> </w:t>
            </w:r>
            <w:r w:rsidR="00A52CE8" w:rsidRPr="00A52CE8">
              <w:rPr>
                <w:rFonts w:ascii="Times New Roman" w:eastAsia="Times New Roman" w:hAnsi="Times New Roman" w:cs="Times New Roman"/>
                <w:spacing w:val="-3"/>
                <w:sz w:val="24"/>
                <w:szCs w:val="24"/>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7F08D7">
              <w:rPr>
                <w:rFonts w:ascii="Times New Roman" w:eastAsia="Times New Roman" w:hAnsi="Times New Roman" w:cs="Times New Roman"/>
                <w:spacing w:val="-3"/>
                <w:sz w:val="24"/>
                <w:szCs w:val="24"/>
                <w:lang w:val="ru-RU" w:eastAsia="en-US"/>
              </w:rPr>
              <w:t>"</w:t>
            </w:r>
          </w:p>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ДК 021:2015 </w:t>
            </w:r>
            <w:r w:rsidRPr="007F08D7">
              <w:rPr>
                <w:rFonts w:ascii="Times New Roman" w:hAnsi="Times New Roman" w:cs="Times New Roman"/>
                <w:bCs/>
                <w:sz w:val="24"/>
                <w:szCs w:val="24"/>
              </w:rPr>
              <w:t>45453000-7– Капітальний ремонт і реставрація</w:t>
            </w:r>
          </w:p>
          <w:p w:rsidR="00ED6E01" w:rsidRPr="007F08D7" w:rsidRDefault="00ED6E01" w:rsidP="008B69CA">
            <w:pPr>
              <w:spacing w:after="0" w:line="240" w:lineRule="auto"/>
              <w:jc w:val="both"/>
              <w:rPr>
                <w:rFonts w:ascii="Times New Roman" w:eastAsia="Times New Roman" w:hAnsi="Times New Roman" w:cs="Times New Roman"/>
                <w:i/>
                <w:sz w:val="24"/>
                <w:szCs w:val="24"/>
                <w:lang w:val="ru-RU"/>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A52CE8">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A52CE8" w:rsidRPr="00A52CE8">
              <w:rPr>
                <w:rFonts w:ascii="Times New Roman" w:eastAsia="Times New Roman" w:hAnsi="Times New Roman" w:cs="Times New Roman"/>
                <w:color w:val="000000" w:themeColor="text1"/>
                <w:sz w:val="24"/>
                <w:szCs w:val="24"/>
              </w:rPr>
              <w:t>Одеська область, Одеський район, село Малодолинське, вул. Зелена, 2</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lastRenderedPageBreak/>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якої(их)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w:t>
            </w:r>
            <w:bookmarkStart w:id="6" w:name="_GoBack"/>
            <w:bookmarkEnd w:id="6"/>
            <w:r>
              <w:rPr>
                <w:rFonts w:ascii="Times New Roman" w:eastAsia="Times New Roman" w:hAnsi="Times New Roman" w:cs="Times New Roman"/>
                <w:sz w:val="24"/>
                <w:szCs w:val="24"/>
              </w:rPr>
              <w:t>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скан-копію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0024A7" w:rsidRPr="000024A7">
              <w:rPr>
                <w:rFonts w:ascii="Times New Roman" w:eastAsia="Times New Roman" w:hAnsi="Times New Roman" w:cs="Times New Roman"/>
                <w:b/>
                <w:color w:val="000000" w:themeColor="text1"/>
                <w:sz w:val="24"/>
                <w:szCs w:val="24"/>
                <w:lang w:val="ru-RU"/>
              </w:rPr>
              <w:t>30</w:t>
            </w:r>
            <w:r w:rsidR="00CA6767" w:rsidRPr="000024A7">
              <w:rPr>
                <w:rFonts w:ascii="Times New Roman" w:eastAsia="Times New Roman" w:hAnsi="Times New Roman" w:cs="Times New Roman"/>
                <w:b/>
                <w:color w:val="000000" w:themeColor="text1"/>
                <w:sz w:val="24"/>
                <w:szCs w:val="24"/>
              </w:rPr>
              <w:t>.0</w:t>
            </w:r>
            <w:r w:rsidR="00CA6767" w:rsidRPr="000024A7">
              <w:rPr>
                <w:rFonts w:ascii="Times New Roman" w:eastAsia="Times New Roman" w:hAnsi="Times New Roman" w:cs="Times New Roman"/>
                <w:b/>
                <w:color w:val="000000" w:themeColor="text1"/>
                <w:sz w:val="24"/>
                <w:szCs w:val="24"/>
                <w:lang w:val="ru-RU"/>
              </w:rPr>
              <w:t>4</w:t>
            </w:r>
            <w:r w:rsidR="007018AA" w:rsidRPr="000024A7">
              <w:rPr>
                <w:rFonts w:ascii="Times New Roman" w:eastAsia="Times New Roman" w:hAnsi="Times New Roman" w:cs="Times New Roman"/>
                <w:b/>
                <w:color w:val="000000" w:themeColor="text1"/>
                <w:sz w:val="24"/>
                <w:szCs w:val="24"/>
              </w:rPr>
              <w:t>.</w:t>
            </w:r>
            <w:r w:rsidRPr="000024A7">
              <w:rPr>
                <w:rFonts w:ascii="Times New Roman" w:eastAsia="Times New Roman" w:hAnsi="Times New Roman" w:cs="Times New Roman"/>
                <w:b/>
                <w:color w:val="000000" w:themeColor="text1"/>
                <w:sz w:val="24"/>
                <w:szCs w:val="24"/>
              </w:rPr>
              <w:t>20</w:t>
            </w:r>
            <w:r w:rsidR="007018AA" w:rsidRPr="000024A7">
              <w:rPr>
                <w:rFonts w:ascii="Times New Roman" w:eastAsia="Times New Roman" w:hAnsi="Times New Roman" w:cs="Times New Roman"/>
                <w:b/>
                <w:color w:val="000000" w:themeColor="text1"/>
                <w:sz w:val="24"/>
                <w:szCs w:val="24"/>
              </w:rPr>
              <w:t xml:space="preserve">24 </w:t>
            </w:r>
            <w:r w:rsidRPr="000024A7">
              <w:rPr>
                <w:rFonts w:ascii="Times New Roman" w:eastAsia="Times New Roman" w:hAnsi="Times New Roman" w:cs="Times New Roman"/>
                <w:b/>
                <w:color w:val="000000" w:themeColor="text1"/>
                <w:sz w:val="24"/>
                <w:szCs w:val="24"/>
              </w:rPr>
              <w:t>року, 00 год.</w:t>
            </w:r>
            <w:r w:rsidR="009C62FC" w:rsidRPr="000024A7">
              <w:rPr>
                <w:rFonts w:ascii="Times New Roman" w:eastAsia="Times New Roman" w:hAnsi="Times New Roman" w:cs="Times New Roman"/>
                <w:b/>
                <w:color w:val="000000" w:themeColor="text1"/>
                <w:sz w:val="24"/>
                <w:szCs w:val="24"/>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14ACA">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14ACA">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14ACA">
              <w:rPr>
                <w:rFonts w:ascii="Times New Roman" w:eastAsia="Times New Roman" w:hAnsi="Times New Roman" w:cs="Times New Roman"/>
                <w:color w:val="000000" w:themeColor="text1"/>
                <w:sz w:val="24"/>
                <w:szCs w:val="24"/>
                <w:highlight w:val="white"/>
              </w:rPr>
              <w:t>лених невідповідностей.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r w:rsidRPr="007C56EC">
              <w:rPr>
                <w:rFonts w:ascii="Times New Roman" w:eastAsia="Times New Roman" w:hAnsi="Times New Roman"/>
                <w:b/>
                <w:color w:val="000000"/>
                <w:sz w:val="24"/>
                <w:szCs w:val="24"/>
                <w:lang w:val="ru-RU"/>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r w:rsidRPr="007C56EC">
              <w:rPr>
                <w:rFonts w:ascii="Times New Roman" w:hAnsi="Times New Roman"/>
                <w:sz w:val="24"/>
                <w:szCs w:val="24"/>
                <w:lang w:val="ru-RU"/>
              </w:rPr>
              <w:t xml:space="preserve">Забезпечення виконання договору про закупівлю – </w:t>
            </w:r>
            <w:r w:rsidRPr="007C56EC">
              <w:rPr>
                <w:rFonts w:ascii="Times New Roman" w:hAnsi="Times New Roman"/>
                <w:b/>
                <w:sz w:val="24"/>
                <w:szCs w:val="24"/>
                <w:lang w:val="ru-RU"/>
              </w:rPr>
              <w:t>не вимагається.</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(лист-згода з ТД)</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 (цінова пропозиція)</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6 до тендерної документації (інформація про субпідрядників)</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 xml:space="preserve">Найменування </w:t>
            </w:r>
            <w:r w:rsidRPr="00023551">
              <w:rPr>
                <w:rFonts w:ascii="Times New Roman" w:eastAsia="Times New Roman" w:hAnsi="Times New Roman" w:cs="Times New Roman"/>
                <w:b/>
                <w:sz w:val="24"/>
                <w:lang w:eastAsia="en-US"/>
              </w:rPr>
              <w:t xml:space="preserve">об’єкта за </w:t>
            </w:r>
            <w:r w:rsidRPr="00023551">
              <w:rPr>
                <w:rFonts w:ascii="Times New Roman" w:eastAsia="Times New Roman" w:hAnsi="Times New Roman" w:cs="Times New Roman"/>
                <w:b/>
                <w:spacing w:val="-2"/>
                <w:sz w:val="24"/>
                <w:lang w:eastAsia="en-US"/>
              </w:rPr>
              <w:t>договором</w:t>
            </w:r>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Період виконання робіт</w:t>
            </w:r>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r w:rsidRPr="00023551">
              <w:rPr>
                <w:rFonts w:ascii="Times New Roman" w:eastAsia="Times New Roman" w:hAnsi="Times New Roman" w:cs="Times New Roman"/>
                <w:b/>
                <w:sz w:val="24"/>
                <w:lang w:val="ru-RU" w:eastAsia="en-US"/>
              </w:rPr>
              <w:t xml:space="preserve">Замовник,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r w:rsidRPr="00A34D5E">
              <w:rPr>
                <w:rFonts w:ascii="Times New Roman" w:eastAsia="Times New Roman" w:hAnsi="Times New Roman" w:cs="Times New Roman"/>
                <w:b/>
                <w:sz w:val="24"/>
                <w:lang w:val="ru-RU" w:eastAsia="en-US"/>
              </w:rPr>
              <w:t>Посилання на договір</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 xml:space="preserve">системі </w:t>
            </w:r>
            <w:r w:rsidRPr="00A34D5E">
              <w:rPr>
                <w:rFonts w:ascii="Times New Roman" w:eastAsia="Times New Roman" w:hAnsi="Times New Roman" w:cs="Times New Roman"/>
                <w:b/>
                <w:spacing w:val="-2"/>
                <w:sz w:val="24"/>
                <w:lang w:val="ru-RU" w:eastAsia="en-US"/>
              </w:rPr>
              <w:t>прозорро</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По зазначеному у таблиці №1 аналогічному договору необхідно надати кольорову сканкопію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підряду,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Якщо учасник по зазначеному у таблиці №1 аналогічному договору був субпідрядником, то надати кольорову скан-копію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наяності)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Посада</w:t>
            </w:r>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Інформація про освіту (складник</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та/або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рівень </w:t>
            </w:r>
            <w:r w:rsidRPr="00711510">
              <w:rPr>
                <w:rFonts w:ascii="Times New Roman" w:eastAsia="Times New Roman" w:hAnsi="Times New Roman" w:cs="Times New Roman"/>
                <w:b/>
                <w:spacing w:val="-2"/>
                <w:sz w:val="20"/>
                <w:szCs w:val="20"/>
                <w:lang w:val="ru-RU" w:eastAsia="en-US"/>
              </w:rPr>
              <w:t>освіти)</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д роботи</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r w:rsidRPr="00711510">
              <w:rPr>
                <w:rFonts w:ascii="Times New Roman" w:eastAsia="Times New Roman" w:hAnsi="Times New Roman" w:cs="Times New Roman"/>
                <w:b/>
                <w:spacing w:val="25"/>
                <w:sz w:val="20"/>
                <w:szCs w:val="20"/>
                <w:lang w:val="ru-RU" w:eastAsia="en-US"/>
              </w:rPr>
              <w:t xml:space="preserve">займаній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(років)</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2"/>
                <w:sz w:val="20"/>
                <w:szCs w:val="20"/>
                <w:lang w:val="ru-RU" w:eastAsia="en-US"/>
              </w:rPr>
              <w:t xml:space="preserve">сумісницт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виконроб/мастер</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(-ів)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(-лів) засідання комісії (-ій)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Найменування </w:t>
            </w:r>
            <w:r w:rsidRPr="00023551">
              <w:rPr>
                <w:rFonts w:ascii="Times New Roman" w:eastAsia="Times New Roman" w:hAnsi="Times New Roman" w:cs="Times New Roman"/>
                <w:sz w:val="24"/>
                <w:lang w:val="ru-RU" w:eastAsia="en-US"/>
              </w:rPr>
              <w:t xml:space="preserve">транспортного засобу, </w:t>
            </w:r>
            <w:r w:rsidRPr="00023551">
              <w:rPr>
                <w:rFonts w:ascii="Times New Roman" w:eastAsia="Times New Roman" w:hAnsi="Times New Roman" w:cs="Times New Roman"/>
                <w:spacing w:val="-2"/>
                <w:sz w:val="24"/>
                <w:lang w:val="ru-RU" w:eastAsia="en-US"/>
              </w:rPr>
              <w:t>обладнання,</w:t>
            </w:r>
            <w:r w:rsidRPr="00023551">
              <w:rPr>
                <w:rFonts w:ascii="Times New Roman" w:eastAsia="Times New Roman" w:hAnsi="Times New Roman" w:cs="Times New Roman"/>
                <w:spacing w:val="-8"/>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4"/>
                <w:sz w:val="24"/>
                <w:lang w:eastAsia="en-US"/>
              </w:rPr>
              <w:t xml:space="preserve">Стан </w:t>
            </w:r>
            <w:r w:rsidRPr="00023551">
              <w:rPr>
                <w:rFonts w:ascii="Times New Roman" w:eastAsia="Times New Roman" w:hAnsi="Times New Roman" w:cs="Times New Roman"/>
                <w:spacing w:val="-2"/>
                <w:sz w:val="24"/>
                <w:lang w:eastAsia="en-US"/>
              </w:rPr>
              <w:t>(нове, справний</w:t>
            </w:r>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кількість</w:t>
            </w:r>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Виробник/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Власне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або</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орендоване,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лізинг, надання послуг техніки, тощо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Будівельні</w:t>
            </w:r>
            <w:r w:rsidRPr="00023551">
              <w:rPr>
                <w:rFonts w:ascii="Times New Roman" w:eastAsia="Times New Roman" w:hAnsi="Times New Roman" w:cs="Times New Roman"/>
                <w:spacing w:val="-13"/>
                <w:sz w:val="24"/>
                <w:lang w:val="ru-RU" w:eastAsia="en-US"/>
              </w:rPr>
              <w:t xml:space="preserve"> </w:t>
            </w:r>
            <w:r w:rsidRPr="00023551">
              <w:rPr>
                <w:rFonts w:ascii="Times New Roman" w:eastAsia="Times New Roman" w:hAnsi="Times New Roman" w:cs="Times New Roman"/>
                <w:sz w:val="24"/>
                <w:lang w:val="ru-RU" w:eastAsia="en-US"/>
              </w:rPr>
              <w:t>машини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механізми,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обладнання,</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Офісне</w:t>
            </w:r>
            <w:r w:rsidRPr="00023551">
              <w:rPr>
                <w:rFonts w:ascii="Times New Roman" w:eastAsia="Times New Roman" w:hAnsi="Times New Roman" w:cs="Times New Roman"/>
                <w:spacing w:val="-3"/>
                <w:sz w:val="24"/>
                <w:lang w:eastAsia="en-US"/>
              </w:rPr>
              <w:t xml:space="preserve"> </w:t>
            </w:r>
            <w:r w:rsidRPr="00023551">
              <w:rPr>
                <w:rFonts w:ascii="Times New Roman" w:eastAsia="Times New Roman" w:hAnsi="Times New Roman" w:cs="Times New Roman"/>
                <w:spacing w:val="-2"/>
                <w:sz w:val="24"/>
                <w:lang w:eastAsia="en-US"/>
              </w:rPr>
              <w:t>приміщення</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Матеріально-</w:t>
            </w:r>
            <w:r w:rsidRPr="00023551">
              <w:rPr>
                <w:rFonts w:ascii="Times New Roman" w:eastAsia="Times New Roman" w:hAnsi="Times New Roman" w:cs="Times New Roman"/>
                <w:spacing w:val="-7"/>
                <w:sz w:val="24"/>
                <w:lang w:val="ru-RU" w:eastAsia="en-US"/>
              </w:rPr>
              <w:t xml:space="preserve"> </w:t>
            </w:r>
            <w:r w:rsidRPr="00023551">
              <w:rPr>
                <w:rFonts w:ascii="Times New Roman" w:eastAsia="Times New Roman" w:hAnsi="Times New Roman" w:cs="Times New Roman"/>
                <w:sz w:val="24"/>
                <w:lang w:val="ru-RU" w:eastAsia="en-US"/>
              </w:rPr>
              <w:t>технічна</w:t>
            </w:r>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(виробнича</w:t>
            </w:r>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складські</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приміщення,</w:t>
            </w:r>
            <w:r w:rsidRPr="00023551">
              <w:rPr>
                <w:rFonts w:ascii="Times New Roman" w:eastAsia="Times New Roman" w:hAnsi="Times New Roman" w:cs="Times New Roman"/>
                <w:spacing w:val="-1"/>
                <w:sz w:val="24"/>
                <w:lang w:val="ru-RU" w:eastAsia="en-US"/>
              </w:rPr>
              <w:t xml:space="preserve"> </w:t>
            </w:r>
            <w:r w:rsidRPr="00023551">
              <w:rPr>
                <w:rFonts w:ascii="Times New Roman" w:eastAsia="Times New Roman" w:hAnsi="Times New Roman" w:cs="Times New Roman"/>
                <w:spacing w:val="-2"/>
                <w:sz w:val="24"/>
                <w:lang w:val="ru-RU" w:eastAsia="en-US"/>
              </w:rPr>
              <w:t>тощо)</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(ів), що посвідчують право користування (договір оренди, послуг, тощо) – надаються відповідні скан-копії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підтверджує(ють)</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На підтвердження наявності у учасника власних машин, механізмів та техніки (які є транспортними засобами) мають бути надані скан-копії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Скановану копію з оригіналу Витяга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Учасником надається скановану копію з оригіналу Витяга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z w:val="24"/>
                <w:lang w:eastAsia="en-US"/>
              </w:rPr>
              <w:t>Найменування</w:t>
            </w:r>
            <w:r w:rsidRPr="00994FB3">
              <w:rPr>
                <w:rFonts w:ascii="Times New Roman" w:eastAsia="Times New Roman" w:hAnsi="Times New Roman" w:cs="Times New Roman"/>
                <w:b/>
                <w:spacing w:val="-5"/>
                <w:sz w:val="24"/>
                <w:lang w:eastAsia="en-US"/>
              </w:rPr>
              <w:t xml:space="preserve"> </w:t>
            </w:r>
            <w:r w:rsidRPr="00994FB3">
              <w:rPr>
                <w:rFonts w:ascii="Times New Roman" w:eastAsia="Times New Roman" w:hAnsi="Times New Roman" w:cs="Times New Roman"/>
                <w:b/>
                <w:spacing w:val="-2"/>
                <w:sz w:val="24"/>
                <w:lang w:eastAsia="en-US"/>
              </w:rPr>
              <w:t>відомостей</w:t>
            </w:r>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2"/>
                <w:sz w:val="24"/>
                <w:lang w:eastAsia="en-US"/>
              </w:rPr>
              <w:t>Відомості</w:t>
            </w:r>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Повне</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найменування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або</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батькові </w:t>
            </w:r>
            <w:r w:rsidRPr="00994FB3">
              <w:rPr>
                <w:rFonts w:ascii="Times New Roman" w:eastAsia="Times New Roman" w:hAnsi="Times New Roman" w:cs="Times New Roman"/>
                <w:i/>
                <w:sz w:val="24"/>
                <w:lang w:val="ru-RU" w:eastAsia="en-US"/>
              </w:rPr>
              <w:t>(для фізичних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фізичних</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Керівництво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батькові)</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r w:rsidRPr="00994FB3">
              <w:rPr>
                <w:rFonts w:ascii="Times New Roman" w:eastAsia="Times New Roman" w:hAnsi="Times New Roman" w:cs="Times New Roman"/>
                <w:i/>
                <w:sz w:val="24"/>
                <w:lang w:val="ru-RU" w:eastAsia="en-US"/>
              </w:rPr>
              <w:t xml:space="preserve">юридичних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Адреса, телефон, електронна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sz w:val="24"/>
                <w:lang w:val="ru-RU" w:eastAsia="en-US"/>
              </w:rPr>
              <w:t>пошта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контактів,</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електронна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r w:rsidRPr="00994FB3">
              <w:rPr>
                <w:rFonts w:ascii="Times New Roman" w:eastAsia="Times New Roman" w:hAnsi="Times New Roman" w:cs="Times New Roman"/>
                <w:sz w:val="24"/>
                <w:lang w:val="ru-RU" w:eastAsia="en-US"/>
              </w:rPr>
              <w:t>Інформація</w:t>
            </w:r>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банківські</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реквізити</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учасника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урахуванням</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Прізвище,</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ініціали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особи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уповноваженої</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учасником</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на</w:t>
            </w:r>
            <w:r w:rsidRPr="00994FB3">
              <w:rPr>
                <w:rFonts w:ascii="Times New Roman" w:eastAsia="Times New Roman" w:hAnsi="Times New Roman" w:cs="Times New Roman"/>
                <w:spacing w:val="-10"/>
                <w:sz w:val="24"/>
                <w:lang w:eastAsia="en-US"/>
              </w:rPr>
              <w:t xml:space="preserve"> </w:t>
            </w:r>
            <w:r w:rsidRPr="00994FB3">
              <w:rPr>
                <w:rFonts w:ascii="Times New Roman" w:eastAsia="Times New Roman" w:hAnsi="Times New Roman" w:cs="Times New Roman"/>
                <w:sz w:val="24"/>
                <w:lang w:eastAsia="en-US"/>
              </w:rPr>
              <w:t>підписання тендерної пропозиції в рамках даної процедури закупівлі (для юридичних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 xml:space="preserve">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підрядник забов’язан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lastRenderedPageBreak/>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w:t>
      </w:r>
      <w:r w:rsidR="0023437F" w:rsidRPr="0023437F">
        <w:t xml:space="preserve"> </w:t>
      </w:r>
      <w:r w:rsidR="0023437F" w:rsidRPr="0023437F">
        <w:rPr>
          <w:rFonts w:ascii="Times New Roman" w:eastAsia="Times New Roman" w:hAnsi="Times New Roman" w:cs="Times New Roman"/>
          <w:spacing w:val="-3"/>
          <w:sz w:val="24"/>
          <w:szCs w:val="24"/>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794BE1">
        <w:rPr>
          <w:rFonts w:ascii="Times New Roman" w:eastAsia="Times New Roman" w:hAnsi="Times New Roman" w:cs="Times New Roman"/>
          <w:spacing w:val="-3"/>
          <w:sz w:val="24"/>
          <w:szCs w:val="24"/>
          <w:lang w:val="ru-RU" w:eastAsia="en-US"/>
        </w:rPr>
        <w:t>"</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w:t>
            </w:r>
            <w:r w:rsidR="00A52CE8" w:rsidRPr="00A52CE8">
              <w:rPr>
                <w:rFonts w:ascii="Times New Roman" w:eastAsia="Times New Roman" w:hAnsi="Times New Roman" w:cs="Times New Roman"/>
                <w:spacing w:val="-3"/>
                <w:sz w:val="24"/>
                <w:szCs w:val="24"/>
                <w:lang w:val="ru-RU"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Pr="00794BE1">
              <w:rPr>
                <w:rFonts w:ascii="Times New Roman" w:eastAsia="Times New Roman" w:hAnsi="Times New Roman" w:cs="Times New Roman"/>
                <w:spacing w:val="-3"/>
                <w:sz w:val="24"/>
                <w:szCs w:val="24"/>
                <w:lang w:val="ru-RU" w:eastAsia="en-US"/>
              </w:rPr>
              <w:t>"</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A52CE8" w:rsidP="00A52CE8">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68093</w:t>
            </w:r>
            <w:r w:rsidR="00794BE1">
              <w:rPr>
                <w:rFonts w:ascii="Times New Roman" w:eastAsia="Times New Roman" w:hAnsi="Times New Roman" w:cs="Times New Roman"/>
                <w:color w:val="000000" w:themeColor="text1"/>
                <w:sz w:val="24"/>
                <w:szCs w:val="24"/>
              </w:rPr>
              <w:t xml:space="preserve"> </w:t>
            </w:r>
            <w:r w:rsidRPr="00A52CE8">
              <w:rPr>
                <w:rFonts w:ascii="Times New Roman" w:eastAsia="Times New Roman" w:hAnsi="Times New Roman" w:cs="Times New Roman"/>
                <w:color w:val="000000" w:themeColor="text1"/>
                <w:sz w:val="24"/>
                <w:szCs w:val="24"/>
              </w:rPr>
              <w:t>Одеська область, Одеський район, село Малодолинське, вул. Зелена, 2</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686FA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A52CE8" w:rsidRDefault="00A52CE8" w:rsidP="00686FAD">
      <w:pPr>
        <w:shd w:val="clear" w:color="auto" w:fill="FFFFFF"/>
        <w:spacing w:after="0" w:line="240" w:lineRule="auto"/>
        <w:ind w:firstLine="460"/>
        <w:jc w:val="both"/>
        <w:rPr>
          <w:rFonts w:ascii="Times New Roman" w:eastAsia="Times New Roman" w:hAnsi="Times New Roman" w:cs="Times New Roman"/>
          <w:sz w:val="24"/>
          <w:szCs w:val="24"/>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52CE8" w:rsidRPr="005628E2" w:rsidTr="00A52CE8">
        <w:trPr>
          <w:jc w:val="center"/>
        </w:trPr>
        <w:tc>
          <w:tcPr>
            <w:tcW w:w="567" w:type="dxa"/>
            <w:vAlign w:val="center"/>
          </w:tcPr>
          <w:p w:rsidR="00A52CE8" w:rsidRPr="005628E2" w:rsidRDefault="00A52CE8" w:rsidP="0023437F">
            <w:pPr>
              <w:spacing w:line="259" w:lineRule="auto"/>
              <w:rPr>
                <w:lang w:val="ru-RU"/>
              </w:rPr>
            </w:pPr>
            <w:r w:rsidRPr="005628E2">
              <w:rPr>
                <w:lang w:val="ru-RU"/>
              </w:rPr>
              <w:t>№</w:t>
            </w:r>
          </w:p>
          <w:p w:rsidR="00A52CE8" w:rsidRPr="005628E2" w:rsidRDefault="00A52CE8" w:rsidP="0023437F">
            <w:pPr>
              <w:spacing w:line="259" w:lineRule="auto"/>
              <w:rPr>
                <w:lang w:val="ru-RU"/>
              </w:rPr>
            </w:pPr>
            <w:r w:rsidRPr="005628E2">
              <w:rPr>
                <w:lang w:val="ru-RU"/>
              </w:rPr>
              <w:t>Ч.ч.</w:t>
            </w:r>
          </w:p>
        </w:tc>
        <w:tc>
          <w:tcPr>
            <w:tcW w:w="5387" w:type="dxa"/>
            <w:vAlign w:val="center"/>
          </w:tcPr>
          <w:p w:rsidR="00A52CE8" w:rsidRPr="005628E2" w:rsidRDefault="00A52CE8" w:rsidP="0023437F">
            <w:pPr>
              <w:spacing w:line="259" w:lineRule="auto"/>
              <w:rPr>
                <w:lang w:val="ru-RU"/>
              </w:rPr>
            </w:pPr>
          </w:p>
          <w:p w:rsidR="00A52CE8" w:rsidRPr="005628E2" w:rsidRDefault="00A52CE8" w:rsidP="0023437F">
            <w:pPr>
              <w:spacing w:line="259" w:lineRule="auto"/>
              <w:rPr>
                <w:lang w:val="ru-RU"/>
              </w:rPr>
            </w:pPr>
            <w:r w:rsidRPr="005628E2">
              <w:rPr>
                <w:lang w:val="ru-RU"/>
              </w:rPr>
              <w:t>Найменування робіт і витрат</w:t>
            </w:r>
          </w:p>
          <w:p w:rsidR="00A52CE8" w:rsidRPr="005628E2" w:rsidRDefault="00A52CE8" w:rsidP="0023437F">
            <w:pPr>
              <w:spacing w:line="259" w:lineRule="auto"/>
              <w:rPr>
                <w:lang w:val="ru-RU"/>
              </w:rPr>
            </w:pPr>
          </w:p>
        </w:tc>
        <w:tc>
          <w:tcPr>
            <w:tcW w:w="1418" w:type="dxa"/>
            <w:vAlign w:val="center"/>
          </w:tcPr>
          <w:p w:rsidR="00A52CE8" w:rsidRPr="005628E2" w:rsidRDefault="00A52CE8" w:rsidP="0023437F">
            <w:pPr>
              <w:spacing w:line="259" w:lineRule="auto"/>
              <w:rPr>
                <w:lang w:val="ru-RU"/>
              </w:rPr>
            </w:pPr>
            <w:r w:rsidRPr="005628E2">
              <w:rPr>
                <w:lang w:val="ru-RU"/>
              </w:rPr>
              <w:t>Одиниця</w:t>
            </w:r>
          </w:p>
          <w:p w:rsidR="00A52CE8" w:rsidRPr="005628E2" w:rsidRDefault="00A52CE8" w:rsidP="0023437F">
            <w:pPr>
              <w:spacing w:line="259" w:lineRule="auto"/>
              <w:rPr>
                <w:lang w:val="ru-RU"/>
              </w:rPr>
            </w:pPr>
            <w:r w:rsidRPr="005628E2">
              <w:rPr>
                <w:lang w:val="ru-RU"/>
              </w:rPr>
              <w:t>виміру</w:t>
            </w:r>
          </w:p>
        </w:tc>
        <w:tc>
          <w:tcPr>
            <w:tcW w:w="1418" w:type="dxa"/>
            <w:vAlign w:val="center"/>
          </w:tcPr>
          <w:p w:rsidR="00A52CE8" w:rsidRPr="005628E2" w:rsidRDefault="00A52CE8" w:rsidP="0023437F">
            <w:pPr>
              <w:spacing w:line="259" w:lineRule="auto"/>
              <w:rPr>
                <w:lang w:val="ru-RU"/>
              </w:rPr>
            </w:pPr>
            <w:r w:rsidRPr="005628E2">
              <w:rPr>
                <w:lang w:val="ru-RU"/>
              </w:rPr>
              <w:t xml:space="preserve">  Кількість</w:t>
            </w:r>
          </w:p>
        </w:tc>
        <w:tc>
          <w:tcPr>
            <w:tcW w:w="1418" w:type="dxa"/>
            <w:vAlign w:val="center"/>
          </w:tcPr>
          <w:p w:rsidR="00A52CE8" w:rsidRPr="005628E2" w:rsidRDefault="00A52CE8" w:rsidP="0023437F">
            <w:pPr>
              <w:spacing w:line="259" w:lineRule="auto"/>
              <w:rPr>
                <w:lang w:val="ru-RU"/>
              </w:rPr>
            </w:pPr>
            <w:r w:rsidRPr="005628E2">
              <w:rPr>
                <w:lang w:val="ru-RU"/>
              </w:rPr>
              <w:t>Примітка</w:t>
            </w:r>
          </w:p>
        </w:tc>
      </w:tr>
      <w:tr w:rsidR="00A52CE8" w:rsidRPr="005628E2" w:rsidTr="00A52CE8">
        <w:trPr>
          <w:jc w:val="center"/>
        </w:trPr>
        <w:tc>
          <w:tcPr>
            <w:tcW w:w="567" w:type="dxa"/>
            <w:vAlign w:val="center"/>
          </w:tcPr>
          <w:p w:rsidR="00A52CE8" w:rsidRPr="005628E2" w:rsidRDefault="00A52CE8" w:rsidP="0023437F">
            <w:pPr>
              <w:spacing w:line="259" w:lineRule="auto"/>
              <w:rPr>
                <w:lang w:val="ru-RU"/>
              </w:rPr>
            </w:pPr>
            <w:r w:rsidRPr="005628E2">
              <w:rPr>
                <w:lang w:val="ru-RU"/>
              </w:rPr>
              <w:t>1</w:t>
            </w:r>
          </w:p>
        </w:tc>
        <w:tc>
          <w:tcPr>
            <w:tcW w:w="5387" w:type="dxa"/>
            <w:vAlign w:val="center"/>
          </w:tcPr>
          <w:p w:rsidR="00A52CE8" w:rsidRPr="005628E2" w:rsidRDefault="00A52CE8" w:rsidP="0023437F">
            <w:pPr>
              <w:spacing w:line="259" w:lineRule="auto"/>
              <w:rPr>
                <w:lang w:val="ru-RU"/>
              </w:rPr>
            </w:pPr>
            <w:r w:rsidRPr="005628E2">
              <w:rPr>
                <w:lang w:val="ru-RU"/>
              </w:rPr>
              <w:t>2</w:t>
            </w:r>
          </w:p>
        </w:tc>
        <w:tc>
          <w:tcPr>
            <w:tcW w:w="1418" w:type="dxa"/>
            <w:vAlign w:val="center"/>
          </w:tcPr>
          <w:p w:rsidR="00A52CE8" w:rsidRPr="005628E2" w:rsidRDefault="00A52CE8" w:rsidP="0023437F">
            <w:pPr>
              <w:spacing w:line="259" w:lineRule="auto"/>
              <w:rPr>
                <w:lang w:val="ru-RU"/>
              </w:rPr>
            </w:pPr>
            <w:r w:rsidRPr="005628E2">
              <w:rPr>
                <w:lang w:val="ru-RU"/>
              </w:rPr>
              <w:t>3</w:t>
            </w:r>
          </w:p>
        </w:tc>
        <w:tc>
          <w:tcPr>
            <w:tcW w:w="1418" w:type="dxa"/>
            <w:vAlign w:val="center"/>
          </w:tcPr>
          <w:p w:rsidR="00A52CE8" w:rsidRPr="005628E2" w:rsidRDefault="00A52CE8" w:rsidP="0023437F">
            <w:pPr>
              <w:spacing w:line="259" w:lineRule="auto"/>
              <w:rPr>
                <w:lang w:val="ru-RU"/>
              </w:rPr>
            </w:pPr>
            <w:r w:rsidRPr="005628E2">
              <w:rPr>
                <w:lang w:val="ru-RU"/>
              </w:rPr>
              <w:t>4</w:t>
            </w:r>
          </w:p>
        </w:tc>
        <w:tc>
          <w:tcPr>
            <w:tcW w:w="1418" w:type="dxa"/>
            <w:vAlign w:val="center"/>
          </w:tcPr>
          <w:p w:rsidR="00A52CE8" w:rsidRPr="005628E2" w:rsidRDefault="00A52CE8" w:rsidP="0023437F">
            <w:pPr>
              <w:spacing w:line="259" w:lineRule="auto"/>
              <w:rPr>
                <w:lang w:val="ru-RU"/>
              </w:rPr>
            </w:pPr>
            <w:r w:rsidRPr="005628E2">
              <w:rPr>
                <w:lang w:val="ru-RU"/>
              </w:rPr>
              <w:t>5</w:t>
            </w:r>
          </w:p>
        </w:tc>
      </w:tr>
      <w:tr w:rsidR="00A52CE8" w:rsidRPr="005628E2" w:rsidTr="00A52CE8">
        <w:trPr>
          <w:jc w:val="center"/>
        </w:trPr>
        <w:tc>
          <w:tcPr>
            <w:tcW w:w="567" w:type="dxa"/>
            <w:vAlign w:val="center"/>
          </w:tcPr>
          <w:p w:rsidR="00A52CE8" w:rsidRPr="005628E2" w:rsidRDefault="00A52CE8" w:rsidP="0023437F">
            <w:pPr>
              <w:spacing w:line="259" w:lineRule="auto"/>
              <w:rPr>
                <w:lang w:val="ru-RU"/>
              </w:rPr>
            </w:pPr>
            <w:r w:rsidRPr="005628E2">
              <w:rPr>
                <w:lang w:val="ru-RU"/>
              </w:rPr>
              <w:t xml:space="preserve"> </w:t>
            </w:r>
          </w:p>
        </w:tc>
        <w:tc>
          <w:tcPr>
            <w:tcW w:w="5387" w:type="dxa"/>
            <w:vAlign w:val="center"/>
          </w:tcPr>
          <w:p w:rsidR="00A52CE8" w:rsidRPr="005628E2" w:rsidRDefault="00A52CE8" w:rsidP="0023437F">
            <w:pPr>
              <w:spacing w:line="259" w:lineRule="auto"/>
              <w:rPr>
                <w:lang w:val="ru-RU"/>
              </w:rPr>
            </w:pPr>
            <w:r w:rsidRPr="005628E2">
              <w:rPr>
                <w:lang w:val="ru-RU"/>
              </w:rPr>
              <w:t>Розділ №1.  Зовнішні мережі каналізації</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1</w:t>
            </w:r>
          </w:p>
        </w:tc>
        <w:tc>
          <w:tcPr>
            <w:tcW w:w="5387" w:type="dxa"/>
          </w:tcPr>
          <w:p w:rsidR="00A52CE8" w:rsidRPr="005628E2" w:rsidRDefault="00A52CE8" w:rsidP="0023437F">
            <w:pPr>
              <w:spacing w:line="259" w:lineRule="auto"/>
              <w:rPr>
                <w:lang w:val="ru-RU"/>
              </w:rPr>
            </w:pPr>
            <w:r w:rsidRPr="005628E2">
              <w:rPr>
                <w:lang w:val="ru-RU"/>
              </w:rPr>
              <w:t>(Демонтаж) Улаштування покриттів з дрібнорозмірних</w:t>
            </w:r>
          </w:p>
          <w:p w:rsidR="00A52CE8" w:rsidRPr="005628E2" w:rsidRDefault="00A52CE8" w:rsidP="0023437F">
            <w:pPr>
              <w:spacing w:line="259" w:lineRule="auto"/>
              <w:rPr>
                <w:lang w:val="ru-RU"/>
              </w:rPr>
            </w:pPr>
            <w:r w:rsidRPr="005628E2">
              <w:rPr>
                <w:lang w:val="ru-RU"/>
              </w:rPr>
              <w:t>фігурних елементів мощення [ФЭМ]</w:t>
            </w:r>
          </w:p>
          <w:p w:rsidR="00A52CE8" w:rsidRPr="005628E2" w:rsidRDefault="00A52CE8" w:rsidP="0023437F">
            <w:pPr>
              <w:spacing w:line="259" w:lineRule="auto"/>
              <w:rPr>
                <w:lang w:val="ru-RU"/>
              </w:rPr>
            </w:pPr>
            <w:r w:rsidRPr="005628E2">
              <w:rPr>
                <w:lang w:val="ru-RU"/>
              </w:rPr>
              <w:t>кількість: 0,5х10</w:t>
            </w:r>
          </w:p>
        </w:tc>
        <w:tc>
          <w:tcPr>
            <w:tcW w:w="1418" w:type="dxa"/>
          </w:tcPr>
          <w:p w:rsidR="00A52CE8" w:rsidRPr="005628E2" w:rsidRDefault="00A52CE8" w:rsidP="0023437F">
            <w:pPr>
              <w:spacing w:line="259" w:lineRule="auto"/>
              <w:rPr>
                <w:lang w:val="ru-RU"/>
              </w:rPr>
            </w:pPr>
            <w:r w:rsidRPr="005628E2">
              <w:rPr>
                <w:lang w:val="ru-RU"/>
              </w:rPr>
              <w:t>м2</w:t>
            </w:r>
          </w:p>
        </w:tc>
        <w:tc>
          <w:tcPr>
            <w:tcW w:w="1418" w:type="dxa"/>
          </w:tcPr>
          <w:p w:rsidR="00A52CE8" w:rsidRPr="005628E2" w:rsidRDefault="00A52CE8" w:rsidP="0023437F">
            <w:pPr>
              <w:spacing w:line="259" w:lineRule="auto"/>
              <w:rPr>
                <w:lang w:val="ru-RU"/>
              </w:rPr>
            </w:pPr>
            <w:r w:rsidRPr="005628E2">
              <w:rPr>
                <w:lang w:val="ru-RU"/>
              </w:rPr>
              <w:t>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2</w:t>
            </w:r>
          </w:p>
        </w:tc>
        <w:tc>
          <w:tcPr>
            <w:tcW w:w="5387" w:type="dxa"/>
          </w:tcPr>
          <w:p w:rsidR="00A52CE8" w:rsidRPr="005628E2" w:rsidRDefault="00A52CE8" w:rsidP="0023437F">
            <w:pPr>
              <w:spacing w:line="259" w:lineRule="auto"/>
              <w:rPr>
                <w:lang w:val="ru-RU"/>
              </w:rPr>
            </w:pPr>
            <w:r w:rsidRPr="005628E2">
              <w:rPr>
                <w:lang w:val="ru-RU"/>
              </w:rPr>
              <w:t>Розбирання існуючих основ з жорстви</w:t>
            </w:r>
          </w:p>
          <w:p w:rsidR="00A52CE8" w:rsidRPr="005628E2" w:rsidRDefault="00A52CE8" w:rsidP="0023437F">
            <w:pPr>
              <w:spacing w:line="259" w:lineRule="auto"/>
              <w:rPr>
                <w:lang w:val="ru-RU"/>
              </w:rPr>
            </w:pPr>
            <w:r w:rsidRPr="005628E2">
              <w:rPr>
                <w:lang w:val="ru-RU"/>
              </w:rPr>
              <w:t>кількість: 10х0,5х0,1</w:t>
            </w:r>
          </w:p>
        </w:tc>
        <w:tc>
          <w:tcPr>
            <w:tcW w:w="1418" w:type="dxa"/>
          </w:tcPr>
          <w:p w:rsidR="00A52CE8" w:rsidRPr="005628E2" w:rsidRDefault="00A52CE8" w:rsidP="0023437F">
            <w:pPr>
              <w:spacing w:line="259" w:lineRule="auto"/>
              <w:rPr>
                <w:lang w:val="ru-RU"/>
              </w:rPr>
            </w:pPr>
            <w:r w:rsidRPr="005628E2">
              <w:rPr>
                <w:lang w:val="ru-RU"/>
              </w:rPr>
              <w:t>м3</w:t>
            </w:r>
          </w:p>
        </w:tc>
        <w:tc>
          <w:tcPr>
            <w:tcW w:w="1418" w:type="dxa"/>
          </w:tcPr>
          <w:p w:rsidR="00A52CE8" w:rsidRPr="005628E2" w:rsidRDefault="00A52CE8" w:rsidP="0023437F">
            <w:pPr>
              <w:spacing w:line="259" w:lineRule="auto"/>
              <w:rPr>
                <w:lang w:val="ru-RU"/>
              </w:rPr>
            </w:pPr>
            <w:r w:rsidRPr="005628E2">
              <w:rPr>
                <w:lang w:val="ru-RU"/>
              </w:rPr>
              <w:t>0,5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3</w:t>
            </w:r>
          </w:p>
        </w:tc>
        <w:tc>
          <w:tcPr>
            <w:tcW w:w="5387" w:type="dxa"/>
          </w:tcPr>
          <w:p w:rsidR="00A52CE8" w:rsidRPr="005628E2" w:rsidRDefault="00A52CE8" w:rsidP="0023437F">
            <w:pPr>
              <w:spacing w:line="259" w:lineRule="auto"/>
              <w:rPr>
                <w:lang w:val="ru-RU"/>
              </w:rPr>
            </w:pPr>
            <w:r w:rsidRPr="005628E2">
              <w:rPr>
                <w:lang w:val="ru-RU"/>
              </w:rPr>
              <w:t>Розробка ґрунту вручну в траншеях глибиною до 2 м без</w:t>
            </w:r>
          </w:p>
          <w:p w:rsidR="00A52CE8" w:rsidRPr="005628E2" w:rsidRDefault="00A52CE8" w:rsidP="0023437F">
            <w:pPr>
              <w:spacing w:line="259" w:lineRule="auto"/>
              <w:rPr>
                <w:lang w:val="ru-RU"/>
              </w:rPr>
            </w:pPr>
            <w:r w:rsidRPr="005628E2">
              <w:rPr>
                <w:lang w:val="ru-RU"/>
              </w:rPr>
              <w:t>кріплень з укосами, група ґрунту 2</w:t>
            </w:r>
          </w:p>
          <w:p w:rsidR="00A52CE8" w:rsidRPr="005628E2" w:rsidRDefault="00A52CE8" w:rsidP="0023437F">
            <w:pPr>
              <w:spacing w:line="259" w:lineRule="auto"/>
              <w:rPr>
                <w:lang w:val="ru-RU"/>
              </w:rPr>
            </w:pPr>
            <w:r w:rsidRPr="005628E2">
              <w:rPr>
                <w:lang w:val="ru-RU"/>
              </w:rPr>
              <w:t>кількість: 0,72х0,4х10</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2,88</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4</w:t>
            </w:r>
          </w:p>
        </w:tc>
        <w:tc>
          <w:tcPr>
            <w:tcW w:w="5387" w:type="dxa"/>
          </w:tcPr>
          <w:p w:rsidR="00A52CE8" w:rsidRPr="005628E2" w:rsidRDefault="00A52CE8" w:rsidP="0023437F">
            <w:pPr>
              <w:spacing w:line="259" w:lineRule="auto"/>
              <w:rPr>
                <w:lang w:val="ru-RU"/>
              </w:rPr>
            </w:pPr>
            <w:r w:rsidRPr="005628E2">
              <w:rPr>
                <w:lang w:val="ru-RU"/>
              </w:rPr>
              <w:t>Розбирання трубопроводів каналізації із чавунних труб</w:t>
            </w:r>
          </w:p>
          <w:p w:rsidR="00A52CE8" w:rsidRPr="005628E2" w:rsidRDefault="00A52CE8" w:rsidP="0023437F">
            <w:pPr>
              <w:spacing w:line="259" w:lineRule="auto"/>
              <w:rPr>
                <w:lang w:val="ru-RU"/>
              </w:rPr>
            </w:pPr>
            <w:r w:rsidRPr="005628E2">
              <w:rPr>
                <w:lang w:val="ru-RU"/>
              </w:rPr>
              <w:t>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10</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lastRenderedPageBreak/>
              <w:t>5</w:t>
            </w:r>
          </w:p>
        </w:tc>
        <w:tc>
          <w:tcPr>
            <w:tcW w:w="5387" w:type="dxa"/>
          </w:tcPr>
          <w:p w:rsidR="00A52CE8" w:rsidRPr="005628E2" w:rsidRDefault="00A52CE8" w:rsidP="0023437F">
            <w:pPr>
              <w:spacing w:line="259" w:lineRule="auto"/>
              <w:rPr>
                <w:lang w:val="ru-RU"/>
              </w:rPr>
            </w:pPr>
            <w:r w:rsidRPr="005628E2">
              <w:rPr>
                <w:lang w:val="ru-RU"/>
              </w:rPr>
              <w:t>Прокладання трубопроводів каналізації з</w:t>
            </w:r>
          </w:p>
          <w:p w:rsidR="00A52CE8" w:rsidRPr="005628E2" w:rsidRDefault="00A52CE8" w:rsidP="0023437F">
            <w:pPr>
              <w:spacing w:line="259" w:lineRule="auto"/>
              <w:rPr>
                <w:lang w:val="ru-RU"/>
              </w:rPr>
            </w:pPr>
            <w:r w:rsidRPr="005628E2">
              <w:rPr>
                <w:lang w:val="ru-RU"/>
              </w:rPr>
              <w:t>поліетиленових труб 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10</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6</w:t>
            </w:r>
          </w:p>
        </w:tc>
        <w:tc>
          <w:tcPr>
            <w:tcW w:w="5387" w:type="dxa"/>
          </w:tcPr>
          <w:p w:rsidR="00A52CE8" w:rsidRPr="005628E2" w:rsidRDefault="00A52CE8" w:rsidP="0023437F">
            <w:pPr>
              <w:spacing w:line="259" w:lineRule="auto"/>
              <w:rPr>
                <w:lang w:val="ru-RU"/>
              </w:rPr>
            </w:pPr>
            <w:r w:rsidRPr="005628E2">
              <w:rPr>
                <w:lang w:val="ru-RU"/>
              </w:rPr>
              <w:t>Засипання вручну траншей, пазух котлованів та ям,</w:t>
            </w:r>
          </w:p>
          <w:p w:rsidR="00A52CE8" w:rsidRPr="005628E2" w:rsidRDefault="00A52CE8" w:rsidP="0023437F">
            <w:pPr>
              <w:spacing w:line="259" w:lineRule="auto"/>
              <w:rPr>
                <w:lang w:val="ru-RU"/>
              </w:rPr>
            </w:pPr>
            <w:r w:rsidRPr="005628E2">
              <w:rPr>
                <w:lang w:val="ru-RU"/>
              </w:rPr>
              <w:t>група ґрунту 1</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2,88</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7</w:t>
            </w:r>
          </w:p>
        </w:tc>
        <w:tc>
          <w:tcPr>
            <w:tcW w:w="5387" w:type="dxa"/>
          </w:tcPr>
          <w:p w:rsidR="00A52CE8" w:rsidRPr="005628E2" w:rsidRDefault="00A52CE8" w:rsidP="0023437F">
            <w:pPr>
              <w:spacing w:line="259" w:lineRule="auto"/>
              <w:rPr>
                <w:lang w:val="ru-RU"/>
              </w:rPr>
            </w:pPr>
            <w:r w:rsidRPr="005628E2">
              <w:rPr>
                <w:lang w:val="ru-RU"/>
              </w:rPr>
              <w:t>Улаштування покриття з фігурних елементів мощення з</w:t>
            </w:r>
          </w:p>
          <w:p w:rsidR="00A52CE8" w:rsidRPr="005628E2" w:rsidRDefault="00A52CE8" w:rsidP="0023437F">
            <w:pPr>
              <w:spacing w:line="259" w:lineRule="auto"/>
              <w:rPr>
                <w:lang w:val="ru-RU"/>
              </w:rPr>
            </w:pPr>
            <w:r w:rsidRPr="005628E2">
              <w:rPr>
                <w:lang w:val="ru-RU"/>
              </w:rPr>
              <w:t>приготуванням піщано-цементної суміші площадок та</w:t>
            </w:r>
          </w:p>
          <w:p w:rsidR="00A52CE8" w:rsidRPr="005628E2" w:rsidRDefault="00A52CE8" w:rsidP="0023437F">
            <w:pPr>
              <w:spacing w:line="259" w:lineRule="auto"/>
              <w:rPr>
                <w:lang w:val="ru-RU"/>
              </w:rPr>
            </w:pPr>
            <w:r w:rsidRPr="005628E2">
              <w:rPr>
                <w:lang w:val="ru-RU"/>
              </w:rPr>
              <w:t>тротуарів шириною понад 2 м</w:t>
            </w:r>
          </w:p>
          <w:p w:rsidR="00A52CE8" w:rsidRPr="005628E2" w:rsidRDefault="00A52CE8" w:rsidP="0023437F">
            <w:pPr>
              <w:spacing w:line="259" w:lineRule="auto"/>
              <w:rPr>
                <w:lang w:val="ru-RU"/>
              </w:rPr>
            </w:pPr>
            <w:r w:rsidRPr="005628E2">
              <w:rPr>
                <w:lang w:val="ru-RU"/>
              </w:rPr>
              <w:t>кількість: 10х0,5</w:t>
            </w:r>
          </w:p>
        </w:tc>
        <w:tc>
          <w:tcPr>
            <w:tcW w:w="1418" w:type="dxa"/>
          </w:tcPr>
          <w:p w:rsidR="00A52CE8" w:rsidRPr="005628E2" w:rsidRDefault="00A52CE8" w:rsidP="0023437F">
            <w:pPr>
              <w:spacing w:line="259" w:lineRule="auto"/>
              <w:rPr>
                <w:lang w:val="ru-RU"/>
              </w:rPr>
            </w:pPr>
            <w:r w:rsidRPr="005628E2">
              <w:rPr>
                <w:lang w:val="ru-RU"/>
              </w:rPr>
              <w:t xml:space="preserve"> м2</w:t>
            </w:r>
          </w:p>
        </w:tc>
        <w:tc>
          <w:tcPr>
            <w:tcW w:w="1418" w:type="dxa"/>
          </w:tcPr>
          <w:p w:rsidR="00A52CE8" w:rsidRPr="005628E2" w:rsidRDefault="00A52CE8" w:rsidP="0023437F">
            <w:pPr>
              <w:spacing w:line="259" w:lineRule="auto"/>
              <w:rPr>
                <w:lang w:val="ru-RU"/>
              </w:rPr>
            </w:pPr>
            <w:r w:rsidRPr="005628E2">
              <w:rPr>
                <w:lang w:val="ru-RU"/>
              </w:rPr>
              <w:t>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vAlign w:val="center"/>
          </w:tcPr>
          <w:p w:rsidR="00A52CE8" w:rsidRPr="005628E2" w:rsidRDefault="00A52CE8" w:rsidP="0023437F">
            <w:pPr>
              <w:spacing w:line="259" w:lineRule="auto"/>
              <w:rPr>
                <w:lang w:val="ru-RU"/>
              </w:rPr>
            </w:pPr>
            <w:r w:rsidRPr="005628E2">
              <w:rPr>
                <w:lang w:val="ru-RU"/>
              </w:rPr>
              <w:t xml:space="preserve"> </w:t>
            </w:r>
          </w:p>
        </w:tc>
        <w:tc>
          <w:tcPr>
            <w:tcW w:w="5387" w:type="dxa"/>
            <w:vAlign w:val="center"/>
          </w:tcPr>
          <w:p w:rsidR="00A52CE8" w:rsidRPr="005628E2" w:rsidRDefault="00A52CE8" w:rsidP="0023437F">
            <w:pPr>
              <w:spacing w:line="259" w:lineRule="auto"/>
              <w:rPr>
                <w:lang w:val="ru-RU"/>
              </w:rPr>
            </w:pPr>
            <w:r w:rsidRPr="005628E2">
              <w:rPr>
                <w:lang w:val="ru-RU"/>
              </w:rPr>
              <w:t>Розділ №2.  Ремонт вводу каналізаційної мережі</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c>
          <w:tcPr>
            <w:tcW w:w="1418" w:type="dxa"/>
            <w:vAlign w:val="center"/>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8</w:t>
            </w:r>
          </w:p>
        </w:tc>
        <w:tc>
          <w:tcPr>
            <w:tcW w:w="5387" w:type="dxa"/>
          </w:tcPr>
          <w:p w:rsidR="00A52CE8" w:rsidRPr="005628E2" w:rsidRDefault="00A52CE8" w:rsidP="0023437F">
            <w:pPr>
              <w:spacing w:line="259" w:lineRule="auto"/>
              <w:rPr>
                <w:lang w:val="ru-RU"/>
              </w:rPr>
            </w:pPr>
            <w:r w:rsidRPr="005628E2">
              <w:rPr>
                <w:lang w:val="ru-RU"/>
              </w:rPr>
              <w:t>Розбирання кам'яної кладки простих стін із цегли</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0,056</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9</w:t>
            </w:r>
          </w:p>
        </w:tc>
        <w:tc>
          <w:tcPr>
            <w:tcW w:w="5387" w:type="dxa"/>
          </w:tcPr>
          <w:p w:rsidR="00A52CE8" w:rsidRPr="005628E2" w:rsidRDefault="00A52CE8" w:rsidP="0023437F">
            <w:pPr>
              <w:spacing w:line="259" w:lineRule="auto"/>
              <w:rPr>
                <w:lang w:val="ru-RU"/>
              </w:rPr>
            </w:pPr>
            <w:r w:rsidRPr="005628E2">
              <w:rPr>
                <w:lang w:val="ru-RU"/>
              </w:rPr>
              <w:t>(Демонтаж) Установлення поліетиленових відводів,</w:t>
            </w:r>
          </w:p>
          <w:p w:rsidR="00A52CE8" w:rsidRPr="005628E2" w:rsidRDefault="00A52CE8" w:rsidP="0023437F">
            <w:pPr>
              <w:spacing w:line="259" w:lineRule="auto"/>
              <w:rPr>
                <w:lang w:val="ru-RU"/>
              </w:rPr>
            </w:pPr>
            <w:r w:rsidRPr="005628E2">
              <w:rPr>
                <w:lang w:val="ru-RU"/>
              </w:rPr>
              <w:t>колін, патрубків, переходів діаметром 110 мм</w:t>
            </w:r>
          </w:p>
        </w:tc>
        <w:tc>
          <w:tcPr>
            <w:tcW w:w="1418" w:type="dxa"/>
          </w:tcPr>
          <w:p w:rsidR="00A52CE8" w:rsidRPr="005628E2" w:rsidRDefault="00A52CE8" w:rsidP="0023437F">
            <w:pPr>
              <w:spacing w:line="259" w:lineRule="auto"/>
              <w:rPr>
                <w:lang w:val="ru-RU"/>
              </w:rPr>
            </w:pPr>
            <w:r w:rsidRPr="005628E2">
              <w:rPr>
                <w:lang w:val="ru-RU"/>
              </w:rPr>
              <w:t>шт</w:t>
            </w:r>
          </w:p>
        </w:tc>
        <w:tc>
          <w:tcPr>
            <w:tcW w:w="1418" w:type="dxa"/>
          </w:tcPr>
          <w:p w:rsidR="00A52CE8" w:rsidRPr="005628E2" w:rsidRDefault="00A52CE8" w:rsidP="0023437F">
            <w:pPr>
              <w:spacing w:line="259" w:lineRule="auto"/>
              <w:rPr>
                <w:lang w:val="ru-RU"/>
              </w:rPr>
            </w:pPr>
            <w:r w:rsidRPr="005628E2">
              <w:rPr>
                <w:lang w:val="ru-RU"/>
              </w:rPr>
              <w:t>1</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10</w:t>
            </w:r>
          </w:p>
        </w:tc>
        <w:tc>
          <w:tcPr>
            <w:tcW w:w="5387" w:type="dxa"/>
          </w:tcPr>
          <w:p w:rsidR="00A52CE8" w:rsidRPr="005628E2" w:rsidRDefault="00A52CE8" w:rsidP="0023437F">
            <w:pPr>
              <w:spacing w:line="259" w:lineRule="auto"/>
              <w:rPr>
                <w:lang w:val="ru-RU"/>
              </w:rPr>
            </w:pPr>
            <w:r w:rsidRPr="005628E2">
              <w:rPr>
                <w:lang w:val="ru-RU"/>
              </w:rPr>
              <w:t>(Демонтаж) Прокладання трубопроводів каналізації з</w:t>
            </w:r>
          </w:p>
          <w:p w:rsidR="00A52CE8" w:rsidRPr="005628E2" w:rsidRDefault="00A52CE8" w:rsidP="0023437F">
            <w:pPr>
              <w:spacing w:line="259" w:lineRule="auto"/>
              <w:rPr>
                <w:lang w:val="ru-RU"/>
              </w:rPr>
            </w:pPr>
            <w:r w:rsidRPr="005628E2">
              <w:rPr>
                <w:lang w:val="ru-RU"/>
              </w:rPr>
              <w:t>поліетиленових труб 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11</w:t>
            </w:r>
          </w:p>
        </w:tc>
        <w:tc>
          <w:tcPr>
            <w:tcW w:w="5387" w:type="dxa"/>
          </w:tcPr>
          <w:p w:rsidR="00A52CE8" w:rsidRPr="005628E2" w:rsidRDefault="00A52CE8" w:rsidP="0023437F">
            <w:pPr>
              <w:spacing w:line="259" w:lineRule="auto"/>
              <w:rPr>
                <w:lang w:val="ru-RU"/>
              </w:rPr>
            </w:pPr>
            <w:r w:rsidRPr="005628E2">
              <w:rPr>
                <w:lang w:val="ru-RU"/>
              </w:rPr>
              <w:t>Навантаження сміття вручну</w:t>
            </w:r>
          </w:p>
        </w:tc>
        <w:tc>
          <w:tcPr>
            <w:tcW w:w="1418" w:type="dxa"/>
          </w:tcPr>
          <w:p w:rsidR="00A52CE8" w:rsidRPr="005628E2" w:rsidRDefault="00A52CE8" w:rsidP="0023437F">
            <w:pPr>
              <w:spacing w:line="259" w:lineRule="auto"/>
              <w:rPr>
                <w:lang w:val="ru-RU"/>
              </w:rPr>
            </w:pPr>
            <w:r w:rsidRPr="005628E2">
              <w:rPr>
                <w:lang w:val="ru-RU"/>
              </w:rPr>
              <w:t xml:space="preserve"> т</w:t>
            </w:r>
          </w:p>
        </w:tc>
        <w:tc>
          <w:tcPr>
            <w:tcW w:w="1418" w:type="dxa"/>
          </w:tcPr>
          <w:p w:rsidR="00A52CE8" w:rsidRPr="005628E2" w:rsidRDefault="00A52CE8" w:rsidP="0023437F">
            <w:pPr>
              <w:spacing w:line="259" w:lineRule="auto"/>
              <w:rPr>
                <w:lang w:val="ru-RU"/>
              </w:rPr>
            </w:pPr>
            <w:r w:rsidRPr="005628E2">
              <w:rPr>
                <w:lang w:val="ru-RU"/>
              </w:rPr>
              <w:t>1,7342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12</w:t>
            </w:r>
          </w:p>
        </w:tc>
        <w:tc>
          <w:tcPr>
            <w:tcW w:w="5387" w:type="dxa"/>
          </w:tcPr>
          <w:p w:rsidR="00A52CE8" w:rsidRPr="005628E2" w:rsidRDefault="00A52CE8" w:rsidP="0023437F">
            <w:pPr>
              <w:spacing w:line="259" w:lineRule="auto"/>
              <w:rPr>
                <w:lang w:val="ru-RU"/>
              </w:rPr>
            </w:pPr>
            <w:r w:rsidRPr="005628E2">
              <w:rPr>
                <w:lang w:val="ru-RU"/>
              </w:rPr>
              <w:t>Перевезення сміття до 30 км</w:t>
            </w:r>
          </w:p>
        </w:tc>
        <w:tc>
          <w:tcPr>
            <w:tcW w:w="1418" w:type="dxa"/>
          </w:tcPr>
          <w:p w:rsidR="00A52CE8" w:rsidRPr="005628E2" w:rsidRDefault="00A52CE8" w:rsidP="0023437F">
            <w:pPr>
              <w:spacing w:line="259" w:lineRule="auto"/>
              <w:rPr>
                <w:lang w:val="ru-RU"/>
              </w:rPr>
            </w:pPr>
            <w:r w:rsidRPr="005628E2">
              <w:rPr>
                <w:lang w:val="ru-RU"/>
              </w:rPr>
              <w:t>т</w:t>
            </w:r>
          </w:p>
        </w:tc>
        <w:tc>
          <w:tcPr>
            <w:tcW w:w="1418" w:type="dxa"/>
          </w:tcPr>
          <w:p w:rsidR="00A52CE8" w:rsidRPr="005628E2" w:rsidRDefault="00A52CE8" w:rsidP="0023437F">
            <w:pPr>
              <w:spacing w:line="259" w:lineRule="auto"/>
              <w:rPr>
                <w:lang w:val="ru-RU"/>
              </w:rPr>
            </w:pPr>
            <w:r w:rsidRPr="005628E2">
              <w:rPr>
                <w:lang w:val="ru-RU"/>
              </w:rPr>
              <w:t>1,7342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13</w:t>
            </w:r>
          </w:p>
        </w:tc>
        <w:tc>
          <w:tcPr>
            <w:tcW w:w="5387" w:type="dxa"/>
          </w:tcPr>
          <w:p w:rsidR="00A52CE8" w:rsidRPr="005628E2" w:rsidRDefault="00A52CE8" w:rsidP="0023437F">
            <w:pPr>
              <w:spacing w:line="259" w:lineRule="auto"/>
              <w:rPr>
                <w:lang w:val="ru-RU"/>
              </w:rPr>
            </w:pPr>
            <w:r w:rsidRPr="005628E2">
              <w:rPr>
                <w:lang w:val="ru-RU"/>
              </w:rPr>
              <w:t>Прокладання трубопроводів каналізації з</w:t>
            </w:r>
          </w:p>
          <w:p w:rsidR="00A52CE8" w:rsidRPr="005628E2" w:rsidRDefault="00A52CE8" w:rsidP="0023437F">
            <w:pPr>
              <w:spacing w:line="259" w:lineRule="auto"/>
              <w:rPr>
                <w:lang w:val="ru-RU"/>
              </w:rPr>
            </w:pPr>
            <w:r w:rsidRPr="005628E2">
              <w:rPr>
                <w:lang w:val="ru-RU"/>
              </w:rPr>
              <w:t>поліетиленових труб діаметром 100 мм</w:t>
            </w:r>
          </w:p>
        </w:tc>
        <w:tc>
          <w:tcPr>
            <w:tcW w:w="1418" w:type="dxa"/>
          </w:tcPr>
          <w:p w:rsidR="00A52CE8" w:rsidRPr="005628E2" w:rsidRDefault="00A52CE8" w:rsidP="0023437F">
            <w:pPr>
              <w:spacing w:line="259" w:lineRule="auto"/>
              <w:rPr>
                <w:lang w:val="ru-RU"/>
              </w:rPr>
            </w:pPr>
            <w:r w:rsidRPr="005628E2">
              <w:rPr>
                <w:lang w:val="ru-RU"/>
              </w:rPr>
              <w:t>м</w:t>
            </w:r>
          </w:p>
        </w:tc>
        <w:tc>
          <w:tcPr>
            <w:tcW w:w="1418" w:type="dxa"/>
          </w:tcPr>
          <w:p w:rsidR="00A52CE8" w:rsidRPr="005628E2" w:rsidRDefault="00A52CE8" w:rsidP="0023437F">
            <w:pPr>
              <w:spacing w:line="259" w:lineRule="auto"/>
              <w:rPr>
                <w:lang w:val="ru-RU"/>
              </w:rPr>
            </w:pPr>
            <w:r w:rsidRPr="005628E2">
              <w:rPr>
                <w:lang w:val="ru-RU"/>
              </w:rPr>
              <w:t>2</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14</w:t>
            </w:r>
          </w:p>
        </w:tc>
        <w:tc>
          <w:tcPr>
            <w:tcW w:w="5387" w:type="dxa"/>
          </w:tcPr>
          <w:p w:rsidR="00A52CE8" w:rsidRPr="005628E2" w:rsidRDefault="00A52CE8" w:rsidP="0023437F">
            <w:pPr>
              <w:spacing w:line="259" w:lineRule="auto"/>
              <w:rPr>
                <w:lang w:val="ru-RU"/>
              </w:rPr>
            </w:pPr>
            <w:r w:rsidRPr="005628E2">
              <w:rPr>
                <w:lang w:val="ru-RU"/>
              </w:rPr>
              <w:t>Мурування окремих ділянок простих зовнішніх стін із</w:t>
            </w:r>
          </w:p>
          <w:p w:rsidR="00A52CE8" w:rsidRPr="005628E2" w:rsidRDefault="00A52CE8" w:rsidP="0023437F">
            <w:pPr>
              <w:spacing w:line="259" w:lineRule="auto"/>
              <w:rPr>
                <w:lang w:val="ru-RU"/>
              </w:rPr>
            </w:pPr>
            <w:r w:rsidRPr="005628E2">
              <w:rPr>
                <w:lang w:val="ru-RU"/>
              </w:rPr>
              <w:t>цегли</w:t>
            </w:r>
          </w:p>
        </w:tc>
        <w:tc>
          <w:tcPr>
            <w:tcW w:w="1418" w:type="dxa"/>
          </w:tcPr>
          <w:p w:rsidR="00A52CE8" w:rsidRPr="005628E2" w:rsidRDefault="00A52CE8" w:rsidP="0023437F">
            <w:pPr>
              <w:spacing w:line="259" w:lineRule="auto"/>
              <w:rPr>
                <w:lang w:val="ru-RU"/>
              </w:rPr>
            </w:pPr>
            <w:r w:rsidRPr="005628E2">
              <w:rPr>
                <w:lang w:val="ru-RU"/>
              </w:rPr>
              <w:t xml:space="preserve"> м3</w:t>
            </w:r>
          </w:p>
        </w:tc>
        <w:tc>
          <w:tcPr>
            <w:tcW w:w="1418" w:type="dxa"/>
          </w:tcPr>
          <w:p w:rsidR="00A52CE8" w:rsidRPr="005628E2" w:rsidRDefault="00A52CE8" w:rsidP="0023437F">
            <w:pPr>
              <w:spacing w:line="259" w:lineRule="auto"/>
              <w:rPr>
                <w:lang w:val="ru-RU"/>
              </w:rPr>
            </w:pPr>
            <w:r w:rsidRPr="005628E2">
              <w:rPr>
                <w:lang w:val="ru-RU"/>
              </w:rPr>
              <w:t>0,056</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Pr>
          <w:p w:rsidR="00A52CE8" w:rsidRPr="005628E2" w:rsidRDefault="00A52CE8" w:rsidP="0023437F">
            <w:pPr>
              <w:spacing w:line="259" w:lineRule="auto"/>
              <w:rPr>
                <w:lang w:val="ru-RU"/>
              </w:rPr>
            </w:pPr>
            <w:r w:rsidRPr="005628E2">
              <w:rPr>
                <w:lang w:val="ru-RU"/>
              </w:rPr>
              <w:t>15</w:t>
            </w:r>
          </w:p>
        </w:tc>
        <w:tc>
          <w:tcPr>
            <w:tcW w:w="5387" w:type="dxa"/>
          </w:tcPr>
          <w:p w:rsidR="00A52CE8" w:rsidRPr="005628E2" w:rsidRDefault="00A52CE8" w:rsidP="0023437F">
            <w:pPr>
              <w:spacing w:line="259" w:lineRule="auto"/>
              <w:rPr>
                <w:lang w:val="ru-RU"/>
              </w:rPr>
            </w:pPr>
            <w:r w:rsidRPr="005628E2">
              <w:rPr>
                <w:lang w:val="ru-RU"/>
              </w:rPr>
              <w:t>Поліпшене штукатурення поверхонь стін всередені</w:t>
            </w:r>
          </w:p>
          <w:p w:rsidR="00A52CE8" w:rsidRPr="005628E2" w:rsidRDefault="00A52CE8" w:rsidP="0023437F">
            <w:pPr>
              <w:spacing w:line="259" w:lineRule="auto"/>
              <w:rPr>
                <w:lang w:val="ru-RU"/>
              </w:rPr>
            </w:pPr>
            <w:r w:rsidRPr="005628E2">
              <w:rPr>
                <w:lang w:val="ru-RU"/>
              </w:rPr>
              <w:t>будівлі цементно-вапняним або цементним розчином по</w:t>
            </w:r>
          </w:p>
          <w:p w:rsidR="00A52CE8" w:rsidRPr="005628E2" w:rsidRDefault="00A52CE8" w:rsidP="0023437F">
            <w:pPr>
              <w:spacing w:line="259" w:lineRule="auto"/>
              <w:rPr>
                <w:lang w:val="ru-RU"/>
              </w:rPr>
            </w:pPr>
            <w:r w:rsidRPr="005628E2">
              <w:rPr>
                <w:lang w:val="ru-RU"/>
              </w:rPr>
              <w:t>каменю та бетону</w:t>
            </w:r>
          </w:p>
        </w:tc>
        <w:tc>
          <w:tcPr>
            <w:tcW w:w="1418" w:type="dxa"/>
          </w:tcPr>
          <w:p w:rsidR="00A52CE8" w:rsidRPr="005628E2" w:rsidRDefault="00A52CE8" w:rsidP="0023437F">
            <w:pPr>
              <w:spacing w:line="259" w:lineRule="auto"/>
              <w:rPr>
                <w:lang w:val="ru-RU"/>
              </w:rPr>
            </w:pPr>
            <w:r w:rsidRPr="005628E2">
              <w:rPr>
                <w:lang w:val="ru-RU"/>
              </w:rPr>
              <w:t>м2</w:t>
            </w:r>
          </w:p>
        </w:tc>
        <w:tc>
          <w:tcPr>
            <w:tcW w:w="1418" w:type="dxa"/>
          </w:tcPr>
          <w:p w:rsidR="00A52CE8" w:rsidRPr="005628E2" w:rsidRDefault="00A52CE8" w:rsidP="0023437F">
            <w:pPr>
              <w:spacing w:line="259" w:lineRule="auto"/>
              <w:rPr>
                <w:lang w:val="ru-RU"/>
              </w:rPr>
            </w:pPr>
            <w:r w:rsidRPr="005628E2">
              <w:rPr>
                <w:lang w:val="ru-RU"/>
              </w:rPr>
              <w:t>0,5</w:t>
            </w:r>
          </w:p>
        </w:tc>
        <w:tc>
          <w:tcPr>
            <w:tcW w:w="1418" w:type="dxa"/>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16</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товщиною шару 1 мм</w:t>
            </w:r>
          </w:p>
          <w:p w:rsidR="00A52CE8" w:rsidRPr="005628E2" w:rsidRDefault="00A52CE8" w:rsidP="0023437F">
            <w:pPr>
              <w:spacing w:line="259" w:lineRule="auto"/>
              <w:rPr>
                <w:lang w:val="ru-RU"/>
              </w:rPr>
            </w:pPr>
            <w:r w:rsidRPr="005628E2">
              <w:rPr>
                <w:lang w:val="ru-RU"/>
              </w:rPr>
              <w:t>при нанесенні за 2 рази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на кожний шар</w:t>
            </w:r>
          </w:p>
          <w:p w:rsidR="00A52CE8" w:rsidRPr="005628E2" w:rsidRDefault="00A52CE8" w:rsidP="0023437F">
            <w:pPr>
              <w:spacing w:line="259" w:lineRule="auto"/>
              <w:rPr>
                <w:lang w:val="ru-RU"/>
              </w:rPr>
            </w:pPr>
            <w:r w:rsidRPr="005628E2">
              <w:rPr>
                <w:lang w:val="ru-RU"/>
              </w:rPr>
              <w:t>товщиною 0,5 мм додавати або вилучати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18</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полівінілацетатними</w:t>
            </w:r>
          </w:p>
          <w:p w:rsidR="00A52CE8" w:rsidRPr="005628E2" w:rsidRDefault="00A52CE8" w:rsidP="0023437F">
            <w:pPr>
              <w:spacing w:line="259" w:lineRule="auto"/>
              <w:rPr>
                <w:lang w:val="ru-RU"/>
              </w:rPr>
            </w:pPr>
            <w:r w:rsidRPr="005628E2">
              <w:rPr>
                <w:lang w:val="ru-RU"/>
              </w:rPr>
              <w:t>водоемульсійними сумішами стін по збірних конструкціях,</w:t>
            </w:r>
          </w:p>
          <w:p w:rsidR="00A52CE8" w:rsidRPr="005628E2" w:rsidRDefault="00A52CE8" w:rsidP="0023437F">
            <w:pPr>
              <w:spacing w:line="259" w:lineRule="auto"/>
              <w:rPr>
                <w:lang w:val="ru-RU"/>
              </w:rPr>
            </w:pPr>
            <w:r w:rsidRPr="005628E2">
              <w:rPr>
                <w:lang w:val="ru-RU"/>
              </w:rPr>
              <w:t xml:space="preserve"> підготовлених під фарбування</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Розділ №3.  Заміна пошкоджених гнучких вставок</w:t>
            </w:r>
          </w:p>
          <w:p w:rsidR="00A52CE8" w:rsidRPr="005628E2" w:rsidRDefault="00A52CE8" w:rsidP="0023437F">
            <w:pPr>
              <w:spacing w:line="259" w:lineRule="auto"/>
              <w:rPr>
                <w:lang w:val="ru-RU"/>
              </w:rPr>
            </w:pPr>
            <w:r w:rsidRPr="005628E2">
              <w:rPr>
                <w:lang w:val="ru-RU"/>
              </w:rPr>
              <w:lastRenderedPageBreak/>
              <w:t>системи вентиляціїна покрівлі харчоблоку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19</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(Демонтаж) Установлення вставок гнучких до радіальних</w:t>
            </w:r>
          </w:p>
          <w:p w:rsidR="00A52CE8" w:rsidRPr="005628E2" w:rsidRDefault="00A52CE8" w:rsidP="0023437F">
            <w:pPr>
              <w:spacing w:line="259" w:lineRule="auto"/>
              <w:rPr>
                <w:lang w:val="ru-RU"/>
              </w:rPr>
            </w:pPr>
            <w:r w:rsidRPr="005628E2">
              <w:rPr>
                <w:lang w:val="ru-RU"/>
              </w:rPr>
              <w:t>вентиляторів</w:t>
            </w:r>
          </w:p>
          <w:p w:rsidR="00A52CE8" w:rsidRPr="005628E2" w:rsidRDefault="00A52CE8" w:rsidP="0023437F">
            <w:pPr>
              <w:spacing w:line="259" w:lineRule="auto"/>
              <w:rPr>
                <w:lang w:val="ru-RU"/>
              </w:rPr>
            </w:pPr>
            <w:r w:rsidRPr="005628E2">
              <w:rPr>
                <w:lang w:val="ru-RU"/>
              </w:rPr>
              <w:t>кількість: (3,14х0,63х0,13)х5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1,28583</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Установлення вставок гнучких до радіальних</w:t>
            </w:r>
          </w:p>
          <w:p w:rsidR="00A52CE8" w:rsidRPr="005628E2" w:rsidRDefault="00A52CE8" w:rsidP="0023437F">
            <w:pPr>
              <w:spacing w:line="259" w:lineRule="auto"/>
              <w:rPr>
                <w:lang w:val="ru-RU"/>
              </w:rPr>
            </w:pPr>
            <w:r w:rsidRPr="005628E2">
              <w:rPr>
                <w:lang w:val="ru-RU"/>
              </w:rPr>
              <w:t>вентиляторів</w:t>
            </w:r>
          </w:p>
          <w:p w:rsidR="00A52CE8" w:rsidRPr="005628E2" w:rsidRDefault="00A52CE8" w:rsidP="0023437F">
            <w:pPr>
              <w:spacing w:line="259" w:lineRule="auto"/>
              <w:rPr>
                <w:lang w:val="ru-RU"/>
              </w:rPr>
            </w:pPr>
            <w:r w:rsidRPr="005628E2">
              <w:rPr>
                <w:lang w:val="ru-RU"/>
              </w:rPr>
              <w:t>кількість: (3,14х0,63х0,13)х5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1,28583</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Розділ №4.  Відновлення пошкоджених гіпсокартонних</w:t>
            </w:r>
          </w:p>
          <w:p w:rsidR="00A52CE8" w:rsidRPr="005628E2" w:rsidRDefault="00A52CE8" w:rsidP="0023437F">
            <w:pPr>
              <w:spacing w:line="259" w:lineRule="auto"/>
              <w:rPr>
                <w:lang w:val="ru-RU"/>
              </w:rPr>
            </w:pPr>
            <w:r w:rsidRPr="005628E2">
              <w:rPr>
                <w:lang w:val="ru-RU"/>
              </w:rPr>
              <w:t>коробів та стін харчоблоку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Короб</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21</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Знімання сухої штукатурки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22</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(Демонтаж) Улаштування каркасу під облицювання стін</w:t>
            </w:r>
          </w:p>
          <w:p w:rsidR="00A52CE8" w:rsidRPr="005628E2" w:rsidRDefault="00A52CE8" w:rsidP="0023437F">
            <w:pPr>
              <w:spacing w:line="259" w:lineRule="auto"/>
              <w:rPr>
                <w:lang w:val="ru-RU"/>
              </w:rPr>
            </w:pPr>
            <w:r w:rsidRPr="005628E2">
              <w:rPr>
                <w:lang w:val="ru-RU"/>
              </w:rPr>
              <w:t>сухою штукатуркою</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23</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Улаштування обшивки стін гіпсокартонними плитами</w:t>
            </w:r>
          </w:p>
          <w:p w:rsidR="00A52CE8" w:rsidRPr="005628E2" w:rsidRDefault="00A52CE8" w:rsidP="0023437F">
            <w:pPr>
              <w:spacing w:line="259" w:lineRule="auto"/>
              <w:rPr>
                <w:lang w:val="ru-RU"/>
              </w:rPr>
            </w:pPr>
            <w:r w:rsidRPr="005628E2">
              <w:rPr>
                <w:lang w:val="ru-RU"/>
              </w:rPr>
              <w:t>[короб] по металевому каркасу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24</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Заповнення каркасів стін мінераловатними плитами при</w:t>
            </w:r>
          </w:p>
          <w:p w:rsidR="00A52CE8" w:rsidRPr="005628E2" w:rsidRDefault="00A52CE8" w:rsidP="0023437F">
            <w:pPr>
              <w:spacing w:line="259" w:lineRule="auto"/>
              <w:rPr>
                <w:lang w:val="ru-RU"/>
              </w:rPr>
            </w:pPr>
            <w:r w:rsidRPr="005628E2">
              <w:rPr>
                <w:lang w:val="ru-RU"/>
              </w:rPr>
              <w:t>товщині заповнення 50 мм</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25</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товщиною шару 1 мм</w:t>
            </w:r>
          </w:p>
          <w:p w:rsidR="00A52CE8" w:rsidRPr="005628E2" w:rsidRDefault="00A52CE8" w:rsidP="0023437F">
            <w:pPr>
              <w:spacing w:line="259" w:lineRule="auto"/>
              <w:rPr>
                <w:lang w:val="ru-RU"/>
              </w:rPr>
            </w:pPr>
            <w:r w:rsidRPr="005628E2">
              <w:rPr>
                <w:lang w:val="ru-RU"/>
              </w:rPr>
              <w:t>при нанесенні за 2 рази</w:t>
            </w:r>
          </w:p>
          <w:p w:rsidR="00A52CE8" w:rsidRPr="005628E2" w:rsidRDefault="00A52CE8" w:rsidP="0023437F">
            <w:pPr>
              <w:spacing w:line="259" w:lineRule="auto"/>
              <w:rPr>
                <w:lang w:val="ru-RU"/>
              </w:rPr>
            </w:pPr>
            <w:r w:rsidRPr="005628E2">
              <w:rPr>
                <w:lang w:val="ru-RU"/>
              </w:rPr>
              <w:t>кількість: (0,6+0,45)х10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26</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на кожний шар</w:t>
            </w:r>
          </w:p>
          <w:p w:rsidR="00A52CE8" w:rsidRPr="005628E2" w:rsidRDefault="00A52CE8" w:rsidP="0023437F">
            <w:pPr>
              <w:spacing w:line="259" w:lineRule="auto"/>
              <w:rPr>
                <w:lang w:val="ru-RU"/>
              </w:rPr>
            </w:pPr>
            <w:r w:rsidRPr="005628E2">
              <w:rPr>
                <w:lang w:val="ru-RU"/>
              </w:rPr>
              <w:t>товщиною 0,5 мм додавати або вилучати</w:t>
            </w:r>
          </w:p>
          <w:p w:rsidR="00A52CE8" w:rsidRPr="005628E2" w:rsidRDefault="00A52CE8" w:rsidP="0023437F">
            <w:pPr>
              <w:spacing w:line="259" w:lineRule="auto"/>
              <w:rPr>
                <w:lang w:val="ru-RU"/>
              </w:rPr>
            </w:pPr>
            <w:r w:rsidRPr="005628E2">
              <w:rPr>
                <w:lang w:val="ru-RU"/>
              </w:rPr>
              <w:t>кількість: (0,6+0,45)х10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27</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полівінілацетатними</w:t>
            </w:r>
          </w:p>
          <w:p w:rsidR="00A52CE8" w:rsidRPr="005628E2" w:rsidRDefault="00A52CE8" w:rsidP="0023437F">
            <w:pPr>
              <w:spacing w:line="259" w:lineRule="auto"/>
              <w:rPr>
                <w:lang w:val="ru-RU"/>
              </w:rPr>
            </w:pPr>
            <w:r w:rsidRPr="005628E2">
              <w:rPr>
                <w:lang w:val="ru-RU"/>
              </w:rPr>
              <w:t>водоемульсійними сумішами стін по збірних конструкціях,</w:t>
            </w:r>
          </w:p>
          <w:p w:rsidR="00A52CE8" w:rsidRPr="005628E2" w:rsidRDefault="00A52CE8" w:rsidP="0023437F">
            <w:pPr>
              <w:spacing w:line="259" w:lineRule="auto"/>
              <w:rPr>
                <w:lang w:val="ru-RU"/>
              </w:rPr>
            </w:pPr>
            <w:r w:rsidRPr="005628E2">
              <w:rPr>
                <w:lang w:val="ru-RU"/>
              </w:rPr>
              <w:t xml:space="preserve"> підготовлених під фарбування</w:t>
            </w:r>
          </w:p>
          <w:p w:rsidR="00A52CE8" w:rsidRPr="005628E2" w:rsidRDefault="00A52CE8" w:rsidP="0023437F">
            <w:pPr>
              <w:spacing w:line="259" w:lineRule="auto"/>
              <w:rPr>
                <w:lang w:val="ru-RU"/>
              </w:rPr>
            </w:pPr>
            <w:r w:rsidRPr="005628E2">
              <w:rPr>
                <w:lang w:val="ru-RU"/>
              </w:rPr>
              <w:t>кількість: (0,6+0,45)х10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10,5</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Стіни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28</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Відбивання штукатурки по цеглі та бетону зі стін та стель,</w:t>
            </w:r>
          </w:p>
          <w:p w:rsidR="00A52CE8" w:rsidRPr="005628E2" w:rsidRDefault="00A52CE8" w:rsidP="0023437F">
            <w:pPr>
              <w:spacing w:line="259" w:lineRule="auto"/>
              <w:rPr>
                <w:lang w:val="ru-RU"/>
              </w:rPr>
            </w:pPr>
            <w:r w:rsidRPr="005628E2">
              <w:rPr>
                <w:lang w:val="ru-RU"/>
              </w:rPr>
              <w:t xml:space="preserve"> площа відбивання в одному місці більше 5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lastRenderedPageBreak/>
              <w:t>29</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штукатурення поверхонь стін всередені</w:t>
            </w:r>
          </w:p>
          <w:p w:rsidR="00A52CE8" w:rsidRPr="005628E2" w:rsidRDefault="00A52CE8" w:rsidP="0023437F">
            <w:pPr>
              <w:spacing w:line="259" w:lineRule="auto"/>
              <w:rPr>
                <w:lang w:val="ru-RU"/>
              </w:rPr>
            </w:pPr>
            <w:r w:rsidRPr="005628E2">
              <w:rPr>
                <w:lang w:val="ru-RU"/>
              </w:rPr>
              <w:t>будівлі цементно-вапняним або цементним розчином по</w:t>
            </w:r>
          </w:p>
          <w:p w:rsidR="00A52CE8" w:rsidRPr="005628E2" w:rsidRDefault="00A52CE8" w:rsidP="0023437F">
            <w:pPr>
              <w:spacing w:line="259" w:lineRule="auto"/>
              <w:rPr>
                <w:lang w:val="ru-RU"/>
              </w:rPr>
            </w:pPr>
            <w:r w:rsidRPr="005628E2">
              <w:rPr>
                <w:lang w:val="ru-RU"/>
              </w:rPr>
              <w:t>каменю та бетону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30</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Очищення вручну внутрішніх поверхонь стін від олійної,</w:t>
            </w:r>
          </w:p>
          <w:p w:rsidR="00A52CE8" w:rsidRPr="005628E2" w:rsidRDefault="00A52CE8" w:rsidP="0023437F">
            <w:pPr>
              <w:spacing w:line="259" w:lineRule="auto"/>
              <w:rPr>
                <w:lang w:val="ru-RU"/>
              </w:rPr>
            </w:pPr>
            <w:r w:rsidRPr="005628E2">
              <w:rPr>
                <w:lang w:val="ru-RU"/>
              </w:rPr>
              <w:t>перхлорвінілової фарби</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31</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товщиною шару 1 мм</w:t>
            </w:r>
          </w:p>
          <w:p w:rsidR="00A52CE8" w:rsidRPr="005628E2" w:rsidRDefault="00A52CE8" w:rsidP="0023437F">
            <w:pPr>
              <w:spacing w:line="259" w:lineRule="auto"/>
              <w:rPr>
                <w:lang w:val="ru-RU"/>
              </w:rPr>
            </w:pPr>
            <w:r w:rsidRPr="005628E2">
              <w:rPr>
                <w:lang w:val="ru-RU"/>
              </w:rPr>
              <w:t>при нанесенні за 2 рази</w:t>
            </w:r>
          </w:p>
          <w:p w:rsidR="00A52CE8" w:rsidRPr="005628E2" w:rsidRDefault="00A52CE8" w:rsidP="0023437F">
            <w:pPr>
              <w:spacing w:line="259" w:lineRule="auto"/>
              <w:rPr>
                <w:lang w:val="ru-RU"/>
              </w:rPr>
            </w:pPr>
            <w:r w:rsidRPr="005628E2">
              <w:rPr>
                <w:lang w:val="ru-RU"/>
              </w:rPr>
              <w:t>кількість: 20+161,88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181,88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32</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Безпіщане накриття поверхонь стін розчином із</w:t>
            </w:r>
          </w:p>
          <w:p w:rsidR="00A52CE8" w:rsidRPr="005628E2" w:rsidRDefault="00A52CE8" w:rsidP="0023437F">
            <w:pPr>
              <w:spacing w:line="259" w:lineRule="auto"/>
              <w:rPr>
                <w:lang w:val="ru-RU"/>
              </w:rPr>
            </w:pPr>
            <w:r w:rsidRPr="005628E2">
              <w:rPr>
                <w:lang w:val="ru-RU"/>
              </w:rPr>
              <w:t>клейового гіпсу [типу "сатенгіпс"], на кожний шар</w:t>
            </w:r>
          </w:p>
          <w:p w:rsidR="00A52CE8" w:rsidRPr="005628E2" w:rsidRDefault="00A52CE8" w:rsidP="0023437F">
            <w:pPr>
              <w:spacing w:line="259" w:lineRule="auto"/>
              <w:rPr>
                <w:lang w:val="ru-RU"/>
              </w:rPr>
            </w:pPr>
            <w:r w:rsidRPr="005628E2">
              <w:rPr>
                <w:lang w:val="ru-RU"/>
              </w:rPr>
              <w:t>товщиною 0,5 мм додавати або вилучати</w:t>
            </w:r>
          </w:p>
          <w:p w:rsidR="00A52CE8" w:rsidRPr="005628E2" w:rsidRDefault="00A52CE8" w:rsidP="0023437F">
            <w:pPr>
              <w:spacing w:line="259" w:lineRule="auto"/>
              <w:rPr>
                <w:lang w:val="ru-RU"/>
              </w:rPr>
            </w:pPr>
            <w:r w:rsidRPr="005628E2">
              <w:rPr>
                <w:lang w:val="ru-RU"/>
              </w:rPr>
              <w:t>кількість: 20+161,88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181,88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33</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полівінілацетатними</w:t>
            </w:r>
          </w:p>
          <w:p w:rsidR="00A52CE8" w:rsidRPr="005628E2" w:rsidRDefault="00A52CE8" w:rsidP="0023437F">
            <w:pPr>
              <w:spacing w:line="259" w:lineRule="auto"/>
              <w:rPr>
                <w:lang w:val="ru-RU"/>
              </w:rPr>
            </w:pPr>
            <w:r w:rsidRPr="005628E2">
              <w:rPr>
                <w:lang w:val="ru-RU"/>
              </w:rPr>
              <w:t>водоемульсійними сумішами стін по збірних конструкціях,</w:t>
            </w:r>
          </w:p>
          <w:p w:rsidR="00A52CE8" w:rsidRPr="005628E2" w:rsidRDefault="00A52CE8" w:rsidP="0023437F">
            <w:pPr>
              <w:spacing w:line="259" w:lineRule="auto"/>
              <w:rPr>
                <w:lang w:val="ru-RU"/>
              </w:rPr>
            </w:pPr>
            <w:r w:rsidRPr="005628E2">
              <w:rPr>
                <w:lang w:val="ru-RU"/>
              </w:rPr>
              <w:t xml:space="preserve"> підготовлених під фарбування</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20</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34</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Поліпшене фарбування колером олійним стін по збірних</w:t>
            </w:r>
          </w:p>
          <w:p w:rsidR="00A52CE8" w:rsidRPr="005628E2" w:rsidRDefault="00A52CE8" w:rsidP="0023437F">
            <w:pPr>
              <w:spacing w:line="259" w:lineRule="auto"/>
              <w:rPr>
                <w:lang w:val="ru-RU"/>
              </w:rPr>
            </w:pPr>
            <w:r w:rsidRPr="005628E2">
              <w:rPr>
                <w:lang w:val="ru-RU"/>
              </w:rPr>
              <w:t>конструкціях, підготовлених під фарбування</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161,88</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Розділ №5.  ВІдновлення пошкодженого фасаду</w:t>
            </w:r>
          </w:p>
          <w:p w:rsidR="00A52CE8" w:rsidRPr="005628E2" w:rsidRDefault="00A52CE8" w:rsidP="0023437F">
            <w:pPr>
              <w:spacing w:line="259" w:lineRule="auto"/>
              <w:rPr>
                <w:lang w:val="ru-RU"/>
              </w:rPr>
            </w:pPr>
            <w:r w:rsidRPr="005628E2">
              <w:rPr>
                <w:lang w:val="ru-RU"/>
              </w:rPr>
              <w:t>харчоблоку</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35</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Улаштування основи під штукатурку з металевої сітки по</w:t>
            </w:r>
          </w:p>
          <w:p w:rsidR="00A52CE8" w:rsidRPr="005628E2" w:rsidRDefault="00A52CE8" w:rsidP="0023437F">
            <w:pPr>
              <w:spacing w:line="259" w:lineRule="auto"/>
              <w:rPr>
                <w:lang w:val="ru-RU"/>
              </w:rPr>
            </w:pPr>
            <w:r w:rsidRPr="005628E2">
              <w:rPr>
                <w:lang w:val="ru-RU"/>
              </w:rPr>
              <w:t>цегляних та бетонних поверхнях</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36</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Ремонт штукатурки гладких фасадів по каменю та</w:t>
            </w:r>
          </w:p>
          <w:p w:rsidR="00A52CE8" w:rsidRPr="005628E2" w:rsidRDefault="00A52CE8" w:rsidP="0023437F">
            <w:pPr>
              <w:spacing w:line="259" w:lineRule="auto"/>
              <w:rPr>
                <w:lang w:val="ru-RU"/>
              </w:rPr>
            </w:pPr>
            <w:r w:rsidRPr="005628E2">
              <w:rPr>
                <w:lang w:val="ru-RU"/>
              </w:rPr>
              <w:t>бетону з землі та риштувань декоративним розчином,</w:t>
            </w:r>
          </w:p>
          <w:p w:rsidR="00A52CE8" w:rsidRPr="005628E2" w:rsidRDefault="00A52CE8" w:rsidP="0023437F">
            <w:pPr>
              <w:spacing w:line="259" w:lineRule="auto"/>
              <w:rPr>
                <w:lang w:val="ru-RU"/>
              </w:rPr>
            </w:pPr>
            <w:r w:rsidRPr="005628E2">
              <w:rPr>
                <w:lang w:val="ru-RU"/>
              </w:rPr>
              <w:t>площа до 5 м2, товщина шару 30 мм</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r w:rsidR="00A52CE8" w:rsidRPr="005628E2" w:rsidTr="00A52CE8">
        <w:trPr>
          <w:jc w:val="center"/>
        </w:trPr>
        <w:tc>
          <w:tcPr>
            <w:tcW w:w="56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37</w:t>
            </w:r>
          </w:p>
        </w:tc>
        <w:tc>
          <w:tcPr>
            <w:tcW w:w="5387"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Полівінілацетатне фарбування нових фасадів з</w:t>
            </w:r>
          </w:p>
          <w:p w:rsidR="00A52CE8" w:rsidRPr="005628E2" w:rsidRDefault="00A52CE8" w:rsidP="0023437F">
            <w:pPr>
              <w:spacing w:line="259" w:lineRule="auto"/>
              <w:rPr>
                <w:lang w:val="ru-RU"/>
              </w:rPr>
            </w:pPr>
            <w:r w:rsidRPr="005628E2">
              <w:rPr>
                <w:lang w:val="ru-RU"/>
              </w:rPr>
              <w:t>риштувань по підготовленій поверхні</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м2</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17</w:t>
            </w:r>
          </w:p>
        </w:tc>
        <w:tc>
          <w:tcPr>
            <w:tcW w:w="1418" w:type="dxa"/>
            <w:tcBorders>
              <w:top w:val="single" w:sz="4" w:space="0" w:color="auto"/>
              <w:left w:val="single" w:sz="4" w:space="0" w:color="auto"/>
              <w:bottom w:val="single" w:sz="4" w:space="0" w:color="auto"/>
              <w:right w:val="single" w:sz="4" w:space="0" w:color="auto"/>
            </w:tcBorders>
          </w:tcPr>
          <w:p w:rsidR="00A52CE8" w:rsidRPr="005628E2" w:rsidRDefault="00A52CE8" w:rsidP="0023437F">
            <w:pPr>
              <w:spacing w:line="259" w:lineRule="auto"/>
              <w:rPr>
                <w:lang w:val="ru-RU"/>
              </w:rPr>
            </w:pPr>
            <w:r w:rsidRPr="005628E2">
              <w:rPr>
                <w:lang w:val="ru-RU"/>
              </w:rPr>
              <w:t xml:space="preserve"> </w:t>
            </w:r>
          </w:p>
        </w:tc>
      </w:tr>
    </w:tbl>
    <w:p w:rsidR="00A52CE8" w:rsidRPr="00A52CE8" w:rsidRDefault="00A52CE8" w:rsidP="00686FAD">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w:t>
      </w:r>
      <w:r w:rsidRPr="003F3F3C">
        <w:rPr>
          <w:rFonts w:ascii="Times New Roman" w:hAnsi="Times New Roman" w:cs="Times New Roman"/>
          <w:sz w:val="24"/>
          <w:szCs w:val="24"/>
        </w:rPr>
        <w:lastRenderedPageBreak/>
        <w:t xml:space="preserve">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проєктною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ознайомлення з проєктною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Ознайомлення з проєктною документацією здійснюється уповноваженими на це представником учасника без ідентифікації назви учасника. Акт ознайомлення з проєктною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проєктною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r w:rsidRPr="003F3F3C">
        <w:rPr>
          <w:rFonts w:ascii="Times New Roman" w:hAnsi="Times New Roman" w:cs="Times New Roman"/>
          <w:sz w:val="24"/>
          <w:szCs w:val="24"/>
        </w:rPr>
        <w:t>Нeвpaхoвaнi у зaгaльнiй цiнi витpaти oплaчувaтися Зaмoвникoм oкpeмo нe будуть, пpo щo учaсникoм у склaдi пpoпoзицiї нaдaється гapaнтiйний лист.</w:t>
      </w:r>
      <w:r w:rsidRPr="003F3F3C">
        <w:rPr>
          <w:rFonts w:ascii="Times New Roman" w:hAnsi="Times New Roman" w:cs="Times New Roman"/>
          <w:sz w:val="24"/>
          <w:szCs w:val="24"/>
          <w:lang w:eastAsia="ru-RU"/>
        </w:rPr>
        <w:t xml:space="preserve"> </w:t>
      </w:r>
      <w:r w:rsidRPr="003F3F3C">
        <w:rPr>
          <w:rFonts w:ascii="Times New Roman" w:hAnsi="Times New Roman" w:cs="Times New Roman"/>
          <w:sz w:val="24"/>
          <w:szCs w:val="24"/>
        </w:rPr>
        <w:t>Зaгaльнa вapтiсть пpoпoзицiї тa всi iншi цiни пoвиннi бути чiткo тa oстaтoчнo визнaчeнi бeз будь-яких пoсилaнь, oбмeжeнь aбo зaстepeжeнь.</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r w:rsidRPr="003F3F3C">
        <w:rPr>
          <w:rFonts w:ascii="Times New Roman" w:eastAsia="Times New Roman" w:hAnsi="Times New Roman" w:cs="Times New Roman"/>
          <w:sz w:val="24"/>
          <w:szCs w:val="24"/>
          <w:lang w:val="ru-RU"/>
        </w:rPr>
        <w:t>Клас наслідків (відповідальності) об'єктів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r w:rsidRPr="006D040C">
        <w:rPr>
          <w:rFonts w:ascii="Times New Roman" w:eastAsia="Times New Roman" w:hAnsi="Times New Roman" w:cs="Times New Roman"/>
          <w:color w:val="000000"/>
          <w:sz w:val="24"/>
          <w:szCs w:val="24"/>
          <w:lang w:eastAsia="ru-RU"/>
        </w:rPr>
        <w:lastRenderedPageBreak/>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Чорноморськ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F97778" w:rsidRDefault="00F97778" w:rsidP="00F97778">
      <w:pPr>
        <w:suppressAutoHyphens/>
        <w:spacing w:after="0" w:line="240" w:lineRule="auto"/>
        <w:jc w:val="both"/>
        <w:rPr>
          <w:rFonts w:ascii="Times New Roman" w:hAnsi="Times New Roman" w:cs="Times New Roman"/>
          <w:lang w:eastAsia="ru-RU"/>
        </w:rPr>
      </w:pPr>
      <w:r w:rsidRPr="00F97778">
        <w:rPr>
          <w:rFonts w:ascii="Times New Roman" w:hAnsi="Times New Roman"/>
          <w:lang w:eastAsia="ru-RU"/>
        </w:rPr>
        <w:t xml:space="preserve">1.1. Замовник доручає, а Підрядник бере на себе зобов'язання виконати роботи відповідно до проектно-кошторисної документації та умов договору по об’єкту: </w:t>
      </w:r>
      <w:r w:rsidRPr="00F97778">
        <w:rPr>
          <w:rFonts w:ascii="Times New Roman" w:eastAsia="Times New Roman" w:hAnsi="Times New Roman" w:cs="Times New Roman"/>
          <w:b/>
          <w:bCs/>
          <w:lang w:eastAsia="ru-RU"/>
        </w:rPr>
        <w:t>«</w:t>
      </w:r>
      <w:r w:rsidR="00A52CE8" w:rsidRPr="00A52CE8">
        <w:rPr>
          <w:rFonts w:ascii="Times New Roman" w:eastAsia="Times New Roman" w:hAnsi="Times New Roman" w:cs="Times New Roman"/>
          <w:b/>
          <w:bCs/>
          <w:lang w:eastAsia="ru-RU"/>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00F520DF">
        <w:rPr>
          <w:rFonts w:ascii="Times New Roman" w:eastAsia="Times New Roman" w:hAnsi="Times New Roman" w:cs="Times New Roman"/>
          <w:b/>
          <w:bCs/>
          <w:lang w:eastAsia="ru-RU"/>
        </w:rPr>
        <w:t xml:space="preserve"> </w:t>
      </w:r>
      <w:r w:rsidRPr="00F97778">
        <w:rPr>
          <w:rFonts w:ascii="Times New Roman" w:eastAsia="Times New Roman" w:hAnsi="Times New Roman" w:cs="Times New Roman"/>
          <w:b/>
          <w:bCs/>
          <w:lang w:eastAsia="ru-RU"/>
        </w:rPr>
        <w:t>»</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т.ч.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lastRenderedPageBreak/>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пропорційно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4.5. Замовник сплачує вартість прийнятих від Підрядника робіт на підставі Довідки про вартість виконаних робіт за формою № КБ-3 та Акта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підряду,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 xml:space="preserve">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w:t>
      </w:r>
      <w:r w:rsidRPr="00F97778">
        <w:rPr>
          <w:rFonts w:ascii="Times New Roman" w:hAnsi="Times New Roman" w:cs="Times New Roman"/>
          <w:lang w:eastAsia="en-US"/>
        </w:rPr>
        <w:lastRenderedPageBreak/>
        <w:t>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w:t>
      </w:r>
      <w:r w:rsidRPr="00F97778">
        <w:rPr>
          <w:rFonts w:ascii="Times New Roman" w:hAnsi="Times New Roman" w:cs="Times New Roman"/>
          <w:lang w:eastAsia="en-US"/>
        </w:rPr>
        <w:lastRenderedPageBreak/>
        <w:t>кваліфікації, попередньо повідомивши про це Замовника, якщо отримання дозволу або ліцензії на провадження такого виду діяльності передбачено чинним законодавством.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lastRenderedPageBreak/>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13.2. При невиконанні чи неналежному виконанні Замовником своїх зобов’язань по п.п.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e-mail,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14.12. Зміна істотних умов Договору допускається виключно у наступних випадках:</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 зменшення обсягів закупівлі, зокрема з урахуванням фактичного обсягу видатків замовника;</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8) зміни умов у зв’язку із застосуванням положень частини шостої статті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w:t>
      </w:r>
      <w:r w:rsidRPr="00F97778">
        <w:rPr>
          <w:rFonts w:ascii="Times New Roman" w:hAnsi="Times New Roman" w:cs="Times New Roman"/>
          <w:lang w:eastAsia="en-US"/>
        </w:rPr>
        <w:lastRenderedPageBreak/>
        <w:t>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73185C" w:rsidRPr="00357672" w:rsidRDefault="00F97778" w:rsidP="00357672">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w:t>
      </w:r>
      <w:r w:rsidR="00357672">
        <w:rPr>
          <w:rFonts w:ascii="Times New Roman" w:hAnsi="Times New Roman" w:cs="Times New Roman"/>
          <w:lang w:eastAsia="en-US"/>
        </w:rPr>
        <w:t>№ 3 – План фінансування робіт.</w:t>
      </w: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86FAD">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9066BE">
              <w:trPr>
                <w:trHeight w:val="271"/>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 м. Чорноморськ, вулиця Хантадзе,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9066BE"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lastRenderedPageBreak/>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lastRenderedPageBreak/>
        <w:t>Додаток № 1</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9066BE">
      <w:pPr>
        <w:spacing w:after="0" w:line="240" w:lineRule="auto"/>
        <w:ind w:leftChars="-1" w:left="1" w:hanging="3"/>
        <w:jc w:val="center"/>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F97778" w:rsidRDefault="00A52CE8" w:rsidP="00F97778">
      <w:pPr>
        <w:shd w:val="clear" w:color="auto" w:fill="FFFFFF"/>
        <w:spacing w:after="0" w:line="240" w:lineRule="auto"/>
        <w:ind w:left="96"/>
        <w:jc w:val="center"/>
        <w:rPr>
          <w:rFonts w:ascii="Times New Roman" w:hAnsi="Times New Roman" w:cs="Times New Roman"/>
          <w:b/>
          <w:lang w:eastAsia="en-US"/>
        </w:rPr>
      </w:pPr>
      <w:r w:rsidRPr="00A52CE8">
        <w:rPr>
          <w:rFonts w:ascii="Times New Roman" w:hAnsi="Times New Roman" w:cs="Times New Roman"/>
          <w:b/>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p w:rsidR="00A52CE8" w:rsidRPr="00F97778" w:rsidRDefault="00A52CE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в.о.начальника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F97778" w:rsidRPr="00A52CE8" w:rsidRDefault="00F97778" w:rsidP="00F97778">
      <w:pPr>
        <w:spacing w:after="0" w:line="240" w:lineRule="auto"/>
        <w:ind w:firstLine="709"/>
        <w:jc w:val="both"/>
        <w:rPr>
          <w:rFonts w:ascii="Times New Roman" w:hAnsi="Times New Roman" w:cs="Times New Roman"/>
          <w:b/>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00A52CE8" w:rsidRPr="00A52CE8">
        <w:t xml:space="preserve"> </w:t>
      </w:r>
      <w:r w:rsidR="00A52CE8" w:rsidRPr="00A52CE8">
        <w:rPr>
          <w:rFonts w:ascii="Times New Roman" w:hAnsi="Times New Roman" w:cs="Times New Roman"/>
          <w:b/>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p w:rsidR="00A52CE8" w:rsidRPr="00F97778" w:rsidRDefault="00A52CE8" w:rsidP="00F97778">
      <w:pPr>
        <w:spacing w:after="0" w:line="240" w:lineRule="auto"/>
        <w:ind w:firstLine="709"/>
        <w:jc w:val="both"/>
        <w:rPr>
          <w:rFonts w:ascii="Times New Roman" w:hAnsi="Times New Roman" w:cs="Times New Roman"/>
          <w:lang w:eastAsia="en-US"/>
        </w:rPr>
      </w:pP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86FAD">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86FAD">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r w:rsidRPr="00F97778">
              <w:rPr>
                <w:rFonts w:ascii="Times New Roman" w:eastAsia="Times New Roman" w:hAnsi="Times New Roman" w:cs="Arial"/>
                <w:b/>
                <w:spacing w:val="-1"/>
                <w:lang w:eastAsia="ru-RU"/>
              </w:rPr>
              <w:t xml:space="preserve">Управління освіти </w:t>
            </w:r>
            <w:r w:rsidRPr="00F97778">
              <w:rPr>
                <w:rFonts w:ascii="Times New Roman" w:eastAsia="Times New Roman" w:hAnsi="Times New Roman" w:cs="Arial"/>
                <w:b/>
                <w:lang w:eastAsia="ru-RU"/>
              </w:rPr>
              <w:t>Чорноморської міської ради Одеського району Одеської області</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Одеська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м. Чорноморськ, вул. Хантадзе,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lang w:val="en-US" w:eastAsia="ru-RU"/>
              </w:rPr>
            </w:pPr>
            <w:r w:rsidRPr="00F97778">
              <w:rPr>
                <w:rFonts w:ascii="Times New Roman" w:eastAsia="Times New Roman" w:hAnsi="Times New Roman" w:cs="Arial"/>
                <w:lang w:val="en-US" w:eastAsia="ru-RU"/>
              </w:rPr>
              <w:t>e</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mail</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chornomorskvo</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gmail</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com</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miskvo</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ukr</w:t>
            </w:r>
            <w:r w:rsidRPr="004C45E4">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net</w:t>
            </w:r>
          </w:p>
          <w:p w:rsidR="00F97778" w:rsidRPr="004C45E4" w:rsidRDefault="00F97778" w:rsidP="00F97778">
            <w:pPr>
              <w:widowControl w:val="0"/>
              <w:spacing w:after="0" w:line="240" w:lineRule="auto"/>
              <w:textAlignment w:val="baseline"/>
              <w:rPr>
                <w:rFonts w:ascii="Times New Roman" w:eastAsia="Times New Roman" w:hAnsi="Times New Roman" w:cs="Arial"/>
                <w:spacing w:val="-1"/>
                <w:lang w:val="en-US" w:eastAsia="ru-RU"/>
              </w:rPr>
            </w:pPr>
            <w:r w:rsidRPr="004C45E4">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ЄДРПОУ</w:t>
            </w:r>
            <w:r w:rsidRPr="004C45E4">
              <w:rPr>
                <w:rFonts w:ascii="Times New Roman" w:eastAsia="Times New Roman" w:hAnsi="Times New Roman" w:cs="Arial"/>
                <w:spacing w:val="-1"/>
                <w:lang w:val="en-US" w:eastAsia="ru-RU"/>
              </w:rPr>
              <w:t xml:space="preserve"> 05406623   </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eastAsia="ru-RU"/>
              </w:rPr>
              <w:t>Розрахункові</w:t>
            </w:r>
            <w:r w:rsidRPr="004C45E4">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рахунки</w:t>
            </w:r>
            <w:r w:rsidRPr="004C45E4">
              <w:rPr>
                <w:rFonts w:ascii="Times New Roman" w:eastAsia="Times New Roman" w:hAnsi="Times New Roman" w:cs="Arial"/>
                <w:spacing w:val="-1"/>
                <w:lang w:val="en-US" w:eastAsia="ru-RU"/>
              </w:rPr>
              <w:t>:</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4C45E4">
              <w:rPr>
                <w:rFonts w:ascii="Times New Roman" w:eastAsia="Times New Roman" w:hAnsi="Times New Roman" w:cs="Arial"/>
                <w:spacing w:val="-1"/>
                <w:lang w:val="en-US" w:eastAsia="ru-RU"/>
              </w:rPr>
              <w:t xml:space="preserve"> 378201720344211019400019188</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4C45E4">
              <w:rPr>
                <w:rFonts w:ascii="Times New Roman" w:eastAsia="Times New Roman" w:hAnsi="Times New Roman" w:cs="Arial"/>
                <w:spacing w:val="-1"/>
                <w:lang w:val="en-US" w:eastAsia="ru-RU"/>
              </w:rPr>
              <w:t xml:space="preserve"> 778201720344281019100019188</w:t>
            </w:r>
          </w:p>
          <w:p w:rsidR="00F97778" w:rsidRPr="004C45E4"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p>
          <w:p w:rsidR="00F97778" w:rsidRPr="004C45E4"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val="en-US" w:eastAsia="ru-RU"/>
              </w:rPr>
            </w:pPr>
            <w:r w:rsidRPr="00F97778">
              <w:rPr>
                <w:rFonts w:ascii="Times New Roman" w:eastAsia="Times New Roman" w:hAnsi="Times New Roman" w:cs="Arial"/>
                <w:spacing w:val="-2"/>
                <w:lang w:eastAsia="ru-RU"/>
              </w:rPr>
              <w:t>МФО</w:t>
            </w:r>
            <w:r w:rsidRPr="004C45E4">
              <w:rPr>
                <w:rFonts w:ascii="Times New Roman" w:eastAsia="Times New Roman" w:hAnsi="Times New Roman" w:cs="Arial"/>
                <w:spacing w:val="-1"/>
                <w:lang w:val="en-US" w:eastAsia="ru-RU"/>
              </w:rPr>
              <w:t xml:space="preserve"> </w:t>
            </w:r>
            <w:r w:rsidRPr="004C45E4">
              <w:rPr>
                <w:rFonts w:ascii="Times New Roman" w:eastAsia="Times New Roman" w:hAnsi="Times New Roman" w:cs="Arial"/>
                <w:spacing w:val="-2"/>
                <w:lang w:val="en-US" w:eastAsia="ru-RU"/>
              </w:rPr>
              <w:t xml:space="preserve">820172, </w:t>
            </w:r>
            <w:r w:rsidRPr="00F97778">
              <w:rPr>
                <w:rFonts w:ascii="Times New Roman" w:eastAsia="Times New Roman" w:hAnsi="Times New Roman" w:cs="Arial"/>
                <w:lang w:eastAsia="ru-RU"/>
              </w:rPr>
              <w:t>ДКСУ</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м</w:t>
            </w:r>
            <w:r w:rsidRPr="004C45E4">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Київ</w:t>
            </w:r>
            <w:r w:rsidRPr="004C45E4">
              <w:rPr>
                <w:rFonts w:ascii="Times New Roman" w:eastAsia="Times New Roman" w:hAnsi="Times New Roman" w:cs="Arial"/>
                <w:spacing w:val="-2"/>
                <w:lang w:val="en-US" w:eastAsia="ru-RU"/>
              </w:rPr>
              <w:t xml:space="preserve">    </w:t>
            </w:r>
          </w:p>
          <w:p w:rsidR="00F97778" w:rsidRPr="004C45E4" w:rsidRDefault="00F97778" w:rsidP="00F97778">
            <w:pPr>
              <w:tabs>
                <w:tab w:val="center" w:pos="2387"/>
              </w:tabs>
              <w:spacing w:after="0" w:line="240" w:lineRule="auto"/>
              <w:textAlignment w:val="baseline"/>
              <w:rPr>
                <w:rFonts w:ascii="Times New Roman" w:eastAsia="Times New Roman" w:hAnsi="Times New Roman" w:cs="Arial"/>
                <w:spacing w:val="-1"/>
                <w:lang w:val="en-US" w:eastAsia="ru-RU"/>
              </w:rPr>
            </w:pPr>
            <w:r w:rsidRPr="004C45E4">
              <w:rPr>
                <w:rFonts w:ascii="Times New Roman" w:eastAsia="Times New Roman" w:hAnsi="Times New Roman" w:cs="Arial"/>
                <w:spacing w:val="-1"/>
                <w:lang w:val="en-US" w:eastAsia="ru-RU"/>
              </w:rPr>
              <w:tab/>
            </w:r>
          </w:p>
          <w:p w:rsidR="00F97778" w:rsidRPr="004C45E4" w:rsidRDefault="00F97778" w:rsidP="00F97778">
            <w:pPr>
              <w:widowControl w:val="0"/>
              <w:spacing w:after="0" w:line="240" w:lineRule="auto"/>
              <w:textAlignment w:val="baseline"/>
              <w:rPr>
                <w:rFonts w:ascii="Times New Roman" w:eastAsia="Times New Roman" w:hAnsi="Times New Roman" w:cs="Arial"/>
                <w:lang w:val="en-US" w:eastAsia="ru-RU"/>
              </w:rPr>
            </w:pPr>
          </w:p>
          <w:p w:rsidR="00F97778" w:rsidRPr="004C45E4"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val="en-US" w:eastAsia="ru-RU"/>
              </w:rPr>
            </w:pPr>
          </w:p>
          <w:p w:rsidR="00F97778" w:rsidRPr="004C45E4"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val="en-US" w:eastAsia="ru-RU"/>
              </w:rPr>
            </w:pPr>
            <w:r w:rsidRPr="004C45E4">
              <w:rPr>
                <w:rFonts w:ascii="Times New Roman" w:eastAsia="Times New Roman" w:hAnsi="Times New Roman" w:cs="Arial"/>
                <w:lang w:val="en-US" w:eastAsia="ru-RU"/>
              </w:rPr>
              <w:t>___________________*</w:t>
            </w:r>
            <w:r w:rsidRPr="004C45E4">
              <w:rPr>
                <w:rFonts w:ascii="Times New Roman" w:eastAsia="Times New Roman" w:hAnsi="Times New Roman" w:cs="Arial"/>
                <w:spacing w:val="-1"/>
                <w:lang w:val="en-US" w:eastAsia="ru-RU"/>
              </w:rPr>
              <w:t xml:space="preserve"> </w:t>
            </w:r>
          </w:p>
          <w:p w:rsidR="00F97778" w:rsidRPr="004C45E4" w:rsidRDefault="00F97778" w:rsidP="00F97778">
            <w:pPr>
              <w:spacing w:after="0" w:line="240" w:lineRule="auto"/>
              <w:textAlignment w:val="baseline"/>
              <w:rPr>
                <w:rFonts w:eastAsia="Times New Roman" w:cs="Times New Roman"/>
                <w:highlight w:val="yellow"/>
                <w:lang w:val="en-US" w:eastAsia="ru-RU"/>
              </w:rPr>
            </w:pPr>
            <w:r w:rsidRPr="004C45E4">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М</w:t>
            </w:r>
            <w:r w:rsidRPr="004C45E4">
              <w:rPr>
                <w:rFonts w:ascii="Times New Roman" w:eastAsia="Times New Roman" w:hAnsi="Times New Roman" w:cs="Arial"/>
                <w:spacing w:val="-1"/>
                <w:lang w:val="en-US" w:eastAsia="ru-RU"/>
              </w:rPr>
              <w:t>.</w:t>
            </w:r>
            <w:r w:rsidRPr="00F97778">
              <w:rPr>
                <w:rFonts w:ascii="Times New Roman" w:eastAsia="Times New Roman" w:hAnsi="Times New Roman" w:cs="Arial"/>
                <w:spacing w:val="-1"/>
                <w:lang w:eastAsia="ru-RU"/>
              </w:rPr>
              <w:t>П</w:t>
            </w:r>
            <w:r w:rsidRPr="004C45E4">
              <w:rPr>
                <w:rFonts w:ascii="Times New Roman" w:eastAsia="Times New Roman" w:hAnsi="Times New Roman" w:cs="Arial"/>
                <w:spacing w:val="-1"/>
                <w:lang w:val="en-US" w:eastAsia="ru-RU"/>
              </w:rPr>
              <w:t>.</w:t>
            </w:r>
          </w:p>
        </w:tc>
        <w:tc>
          <w:tcPr>
            <w:tcW w:w="4749" w:type="dxa"/>
          </w:tcPr>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4C45E4" w:rsidRDefault="00F97778" w:rsidP="00F97778">
            <w:pPr>
              <w:spacing w:after="0" w:line="240" w:lineRule="auto"/>
              <w:textAlignment w:val="baseline"/>
              <w:rPr>
                <w:rFonts w:ascii="Times New Roman" w:eastAsia="Arial Unicode MS" w:hAnsi="Times New Roman" w:cs="Times New Roman"/>
                <w:bCs/>
                <w:lang w:val="en-US" w:eastAsia="ru-RU" w:bidi="uk-UA"/>
              </w:rPr>
            </w:pPr>
          </w:p>
          <w:p w:rsidR="00F97778" w:rsidRPr="004C45E4" w:rsidRDefault="00F97778" w:rsidP="00F97778">
            <w:pPr>
              <w:spacing w:after="0" w:line="240" w:lineRule="auto"/>
              <w:jc w:val="both"/>
              <w:textAlignment w:val="baseline"/>
              <w:rPr>
                <w:rFonts w:ascii="Times New Roman" w:eastAsia="Arial Unicode MS" w:hAnsi="Times New Roman" w:cs="Times New Roman"/>
                <w:bCs/>
                <w:lang w:val="en-US" w:eastAsia="ru-RU" w:bidi="uk-UA"/>
              </w:rPr>
            </w:pPr>
          </w:p>
          <w:p w:rsidR="00F97778" w:rsidRPr="004C45E4" w:rsidRDefault="00F97778" w:rsidP="00F97778">
            <w:pPr>
              <w:spacing w:after="0" w:line="240" w:lineRule="auto"/>
              <w:jc w:val="both"/>
              <w:textAlignment w:val="baseline"/>
              <w:rPr>
                <w:rFonts w:ascii="Times New Roman" w:eastAsia="Times New Roman" w:hAnsi="Times New Roman" w:cs="Times New Roman"/>
                <w:color w:val="000000"/>
                <w:lang w:val="en-US"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263"/>
        <w:gridCol w:w="3861"/>
        <w:gridCol w:w="1175"/>
        <w:gridCol w:w="1423"/>
        <w:gridCol w:w="1104"/>
      </w:tblGrid>
      <w:tr w:rsidR="00F97778" w:rsidRPr="00F97778" w:rsidTr="00686FAD">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Виконавці робіт</w:t>
            </w:r>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Обсяг робіт, терміни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Примітка</w:t>
            </w:r>
          </w:p>
        </w:tc>
      </w:tr>
      <w:tr w:rsidR="00463E34" w:rsidRPr="00F97778" w:rsidTr="00686FAD">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Назва робіт</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Початок робіт (місяць)</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Закінчення робіт (місяць)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A52CE8" w:rsidP="00F97778">
            <w:pPr>
              <w:spacing w:before="100" w:beforeAutospacing="1" w:after="100" w:afterAutospacing="1" w:line="259" w:lineRule="auto"/>
              <w:rPr>
                <w:rFonts w:ascii="Times New Roman" w:eastAsia="Times New Roman" w:hAnsi="Times New Roman" w:cs="Times New Roman"/>
                <w:lang w:eastAsia="en-US"/>
              </w:rPr>
            </w:pPr>
            <w:r w:rsidRPr="00A52CE8">
              <w:rPr>
                <w:rFonts w:ascii="Times New Roman" w:hAnsi="Times New Roman" w:cs="Times New Roman"/>
                <w:b/>
                <w:color w:val="212121"/>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86FAD">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86FAD">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lastRenderedPageBreak/>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Періоди поточного року</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Фінансування робіт (грн.)</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A52CE8" w:rsidP="00A52CE8">
            <w:pPr>
              <w:shd w:val="clear" w:color="auto" w:fill="FFFFFF"/>
              <w:spacing w:after="0" w:line="259" w:lineRule="auto"/>
              <w:ind w:right="1042"/>
              <w:rPr>
                <w:rFonts w:ascii="Times New Roman" w:eastAsia="Times New Roman" w:hAnsi="Times New Roman" w:cs="Times New Roman"/>
                <w:lang w:eastAsia="ru-RU"/>
              </w:rPr>
            </w:pPr>
            <w:r w:rsidRPr="00A52CE8">
              <w:rPr>
                <w:rFonts w:ascii="Times New Roman" w:hAnsi="Times New Roman" w:cs="Times New Roman"/>
                <w:b/>
                <w:color w:val="212121"/>
                <w:lang w:eastAsia="en-US"/>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r w:rsidRPr="00F97778">
              <w:rPr>
                <w:rFonts w:ascii="Times New Roman" w:eastAsia="Times New Roman" w:hAnsi="Times New Roman" w:cs="Times New Roman"/>
                <w:lang w:val="en-US" w:eastAsia="en-US"/>
              </w:rPr>
              <w:t xml:space="preserve">сього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86FAD">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F16AC" w:rsidP="00711510">
      <w:pPr>
        <w:spacing w:before="24" w:line="261" w:lineRule="auto"/>
        <w:ind w:left="100" w:right="107"/>
        <w:jc w:val="both"/>
        <w:rPr>
          <w:rFonts w:ascii="Times New Roman" w:hAnsi="Times New Roman" w:cs="Times New Roman"/>
          <w:b/>
          <w:sz w:val="24"/>
          <w:szCs w:val="24"/>
        </w:rPr>
      </w:pPr>
      <w:r w:rsidRPr="00AF16AC">
        <w:rPr>
          <w:rFonts w:ascii="Times New Roman" w:hAnsi="Times New Roman" w:cs="Times New Roman"/>
          <w:b/>
          <w:sz w:val="24"/>
          <w:szCs w:val="24"/>
        </w:rPr>
        <w:t>"</w:t>
      </w:r>
      <w:r w:rsidR="00A52CE8" w:rsidRPr="00A52CE8">
        <w:t xml:space="preserve"> </w:t>
      </w:r>
      <w:r w:rsidR="00A52CE8" w:rsidRPr="00A52CE8">
        <w:rPr>
          <w:rFonts w:ascii="Times New Roman" w:hAnsi="Times New Roman" w:cs="Times New Roman"/>
          <w:b/>
          <w:sz w:val="24"/>
          <w:szCs w:val="24"/>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Pr>
          <w:rFonts w:ascii="Times New Roman" w:hAnsi="Times New Roman" w:cs="Times New Roman"/>
          <w:b/>
          <w:sz w:val="24"/>
          <w:szCs w:val="24"/>
        </w:rPr>
        <w:t xml:space="preserve">" </w:t>
      </w:r>
      <w:r w:rsidRPr="00AF16AC">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Проєктом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Default="00307F60"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Default="00A52CE8" w:rsidP="00711510">
      <w:pPr>
        <w:pStyle w:val="aa"/>
        <w:jc w:val="both"/>
        <w:rPr>
          <w:i/>
        </w:rPr>
      </w:pPr>
    </w:p>
    <w:p w:rsidR="00A52CE8" w:rsidRPr="00307F60" w:rsidRDefault="00A52CE8"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lastRenderedPageBreak/>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AF16AC" w:rsidRDefault="00307F60" w:rsidP="00711510">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 xml:space="preserve">підписання договору за результатами аукціону на закупівлю робіт: </w:t>
      </w:r>
      <w:r w:rsidR="00AF16AC" w:rsidRPr="00AF16AC">
        <w:rPr>
          <w:rFonts w:ascii="Times New Roman" w:hAnsi="Times New Roman" w:cs="Times New Roman"/>
          <w:b/>
          <w:sz w:val="24"/>
          <w:szCs w:val="24"/>
        </w:rPr>
        <w:t>"</w:t>
      </w:r>
      <w:r w:rsidR="00A52CE8" w:rsidRPr="00A52CE8">
        <w:t xml:space="preserve"> </w:t>
      </w:r>
      <w:r w:rsidR="00A52CE8" w:rsidRPr="00A52CE8">
        <w:rPr>
          <w:rFonts w:ascii="Times New Roman" w:hAnsi="Times New Roman" w:cs="Times New Roman"/>
          <w:b/>
          <w:sz w:val="24"/>
          <w:szCs w:val="24"/>
        </w:rPr>
        <w:t>Капітальний ремонт покрівлі Малодолинського Закладу загальної середньої освіти за адресою: Одеська область, Одеський район, село Малодолинське, вул. Зелена, 2</w:t>
      </w:r>
      <w:r w:rsidR="00AF16AC">
        <w:rPr>
          <w:rFonts w:ascii="Times New Roman" w:hAnsi="Times New Roman" w:cs="Times New Roman"/>
          <w:b/>
          <w:sz w:val="24"/>
          <w:szCs w:val="24"/>
        </w:rPr>
        <w:t xml:space="preserve">" </w:t>
      </w:r>
      <w:r w:rsidR="00AF16AC" w:rsidRPr="00AF16AC">
        <w:rPr>
          <w:rFonts w:ascii="Times New Roman" w:hAnsi="Times New Roman" w:cs="Times New Roman"/>
          <w:b/>
          <w:sz w:val="24"/>
          <w:szCs w:val="24"/>
        </w:rPr>
        <w:t>ДК 021:2015 45453000-7– Капітальний ремонт і реставрація</w:t>
      </w:r>
      <w:r w:rsidR="00AF16AC">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ціновй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lastRenderedPageBreak/>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2984"/>
        <w:gridCol w:w="3695"/>
      </w:tblGrid>
      <w:tr w:rsidR="00307F60" w:rsidRPr="00307F60" w:rsidTr="00867616">
        <w:trPr>
          <w:trHeight w:val="1782"/>
        </w:trPr>
        <w:tc>
          <w:tcPr>
            <w:tcW w:w="2842" w:type="dxa"/>
          </w:tcPr>
          <w:p w:rsidR="00307F60" w:rsidRPr="00307F60" w:rsidRDefault="00307F60" w:rsidP="00711510">
            <w:pPr>
              <w:pStyle w:val="TableParagraph"/>
              <w:spacing w:before="94" w:line="261" w:lineRule="auto"/>
              <w:ind w:left="112" w:right="100"/>
              <w:jc w:val="both"/>
              <w:rPr>
                <w:sz w:val="24"/>
                <w:szCs w:val="24"/>
                <w:lang w:val="ru-RU"/>
              </w:rPr>
            </w:pPr>
            <w:r w:rsidRPr="00307F60">
              <w:rPr>
                <w:sz w:val="24"/>
                <w:szCs w:val="24"/>
                <w:lang w:val="ru-RU"/>
              </w:rPr>
              <w:t xml:space="preserve">Повна назва </w:t>
            </w:r>
            <w:r w:rsidRPr="00307F60">
              <w:rPr>
                <w:spacing w:val="-2"/>
                <w:sz w:val="24"/>
                <w:szCs w:val="24"/>
                <w:lang w:val="ru-RU"/>
              </w:rPr>
              <w:t xml:space="preserve">субпідрядника, </w:t>
            </w:r>
            <w:r w:rsidRPr="00307F60">
              <w:rPr>
                <w:sz w:val="24"/>
                <w:szCs w:val="24"/>
                <w:lang w:val="ru-RU"/>
              </w:rPr>
              <w:t>його</w:t>
            </w:r>
            <w:r w:rsidRPr="00307F60">
              <w:rPr>
                <w:spacing w:val="-15"/>
                <w:sz w:val="24"/>
                <w:szCs w:val="24"/>
                <w:lang w:val="ru-RU"/>
              </w:rPr>
              <w:t xml:space="preserve"> </w:t>
            </w:r>
            <w:r w:rsidRPr="00307F60">
              <w:rPr>
                <w:sz w:val="24"/>
                <w:szCs w:val="24"/>
                <w:lang w:val="ru-RU"/>
              </w:rPr>
              <w:t xml:space="preserve">реквізити, юридична та </w:t>
            </w:r>
            <w:r w:rsidRPr="00307F60">
              <w:rPr>
                <w:spacing w:val="-2"/>
                <w:sz w:val="24"/>
                <w:szCs w:val="24"/>
                <w:lang w:val="ru-RU"/>
              </w:rPr>
              <w:t>фактична адреси</w:t>
            </w:r>
          </w:p>
        </w:tc>
        <w:tc>
          <w:tcPr>
            <w:tcW w:w="2984" w:type="dxa"/>
          </w:tcPr>
          <w:p w:rsidR="00307F60" w:rsidRPr="00307F60" w:rsidRDefault="00307F60" w:rsidP="00711510">
            <w:pPr>
              <w:pStyle w:val="TableParagraph"/>
              <w:spacing w:before="94" w:line="261" w:lineRule="auto"/>
              <w:ind w:left="177" w:right="165"/>
              <w:jc w:val="both"/>
              <w:rPr>
                <w:sz w:val="24"/>
                <w:szCs w:val="24"/>
                <w:lang w:val="ru-RU"/>
              </w:rPr>
            </w:pPr>
            <w:r w:rsidRPr="00307F60">
              <w:rPr>
                <w:sz w:val="24"/>
                <w:szCs w:val="24"/>
                <w:lang w:val="ru-RU"/>
              </w:rPr>
              <w:t xml:space="preserve">Види робіт, які </w:t>
            </w:r>
            <w:r w:rsidRPr="00307F60">
              <w:rPr>
                <w:spacing w:val="-2"/>
                <w:sz w:val="24"/>
                <w:szCs w:val="24"/>
                <w:lang w:val="ru-RU"/>
              </w:rPr>
              <w:t>передбачається</w:t>
            </w:r>
            <w:r w:rsidRPr="00307F60">
              <w:rPr>
                <w:spacing w:val="-10"/>
                <w:sz w:val="24"/>
                <w:szCs w:val="24"/>
                <w:lang w:val="ru-RU"/>
              </w:rPr>
              <w:t xml:space="preserve"> </w:t>
            </w:r>
            <w:r w:rsidRPr="00307F60">
              <w:rPr>
                <w:spacing w:val="-2"/>
                <w:sz w:val="24"/>
                <w:szCs w:val="24"/>
                <w:lang w:val="ru-RU"/>
              </w:rPr>
              <w:t>доручити субпідряднику</w:t>
            </w:r>
          </w:p>
        </w:tc>
        <w:tc>
          <w:tcPr>
            <w:tcW w:w="3695" w:type="dxa"/>
          </w:tcPr>
          <w:p w:rsidR="00307F60" w:rsidRPr="00307F60" w:rsidRDefault="00307F60" w:rsidP="00711510">
            <w:pPr>
              <w:pStyle w:val="TableParagraph"/>
              <w:spacing w:before="94" w:line="261" w:lineRule="auto"/>
              <w:ind w:left="202" w:right="95" w:hanging="95"/>
              <w:jc w:val="both"/>
              <w:rPr>
                <w:sz w:val="24"/>
                <w:szCs w:val="24"/>
                <w:lang w:val="ru-RU"/>
              </w:rPr>
            </w:pPr>
            <w:r w:rsidRPr="00307F60">
              <w:rPr>
                <w:sz w:val="24"/>
                <w:szCs w:val="24"/>
                <w:lang w:val="ru-RU"/>
              </w:rPr>
              <w:t>Орієнтована</w:t>
            </w:r>
            <w:r w:rsidRPr="00307F60">
              <w:rPr>
                <w:spacing w:val="-15"/>
                <w:sz w:val="24"/>
                <w:szCs w:val="24"/>
                <w:lang w:val="ru-RU"/>
              </w:rPr>
              <w:t xml:space="preserve"> </w:t>
            </w:r>
            <w:r w:rsidRPr="00307F60">
              <w:rPr>
                <w:sz w:val="24"/>
                <w:szCs w:val="24"/>
                <w:lang w:val="ru-RU"/>
              </w:rPr>
              <w:t>вартість</w:t>
            </w:r>
            <w:r w:rsidRPr="00307F60">
              <w:rPr>
                <w:spacing w:val="-15"/>
                <w:sz w:val="24"/>
                <w:szCs w:val="24"/>
                <w:lang w:val="ru-RU"/>
              </w:rPr>
              <w:t xml:space="preserve"> </w:t>
            </w:r>
            <w:r w:rsidRPr="00307F60">
              <w:rPr>
                <w:sz w:val="24"/>
                <w:szCs w:val="24"/>
                <w:lang w:val="ru-RU"/>
              </w:rPr>
              <w:t>робіт</w:t>
            </w:r>
            <w:r w:rsidRPr="00307F60">
              <w:rPr>
                <w:spacing w:val="-15"/>
                <w:sz w:val="24"/>
                <w:szCs w:val="24"/>
                <w:lang w:val="ru-RU"/>
              </w:rPr>
              <w:t xml:space="preserve"> </w:t>
            </w:r>
            <w:r w:rsidRPr="00307F60">
              <w:rPr>
                <w:sz w:val="24"/>
                <w:szCs w:val="24"/>
                <w:lang w:val="ru-RU"/>
              </w:rPr>
              <w:t>субпідрядника у в</w:t>
            </w:r>
            <w:r w:rsidRPr="00307F60">
              <w:rPr>
                <w:sz w:val="24"/>
                <w:szCs w:val="24"/>
              </w:rPr>
              <w:t>i</w:t>
            </w:r>
            <w:r w:rsidRPr="00307F60">
              <w:rPr>
                <w:sz w:val="24"/>
                <w:szCs w:val="24"/>
                <w:lang w:val="ru-RU"/>
              </w:rPr>
              <w:t>д</w:t>
            </w:r>
            <w:r w:rsidRPr="00307F60">
              <w:rPr>
                <w:sz w:val="24"/>
                <w:szCs w:val="24"/>
              </w:rPr>
              <w:t>co</w:t>
            </w:r>
            <w:r w:rsidRPr="00307F60">
              <w:rPr>
                <w:sz w:val="24"/>
                <w:szCs w:val="24"/>
                <w:lang w:val="ru-RU"/>
              </w:rPr>
              <w:t>тк</w:t>
            </w:r>
            <w:r w:rsidRPr="00307F60">
              <w:rPr>
                <w:sz w:val="24"/>
                <w:szCs w:val="24"/>
              </w:rPr>
              <w:t>ax</w:t>
            </w:r>
            <w:r w:rsidRPr="00307F60">
              <w:rPr>
                <w:sz w:val="24"/>
                <w:szCs w:val="24"/>
                <w:lang w:val="ru-RU"/>
              </w:rPr>
              <w:t xml:space="preserve"> (%) до тендерної пропозиції</w:t>
            </w:r>
          </w:p>
        </w:tc>
      </w:tr>
      <w:tr w:rsidR="00307F60" w:rsidRPr="00307F60" w:rsidTr="00867616">
        <w:trPr>
          <w:trHeight w:val="384"/>
        </w:trPr>
        <w:tc>
          <w:tcPr>
            <w:tcW w:w="2842" w:type="dxa"/>
          </w:tcPr>
          <w:p w:rsidR="00307F60" w:rsidRPr="00307F60" w:rsidRDefault="00307F60" w:rsidP="00711510">
            <w:pPr>
              <w:pStyle w:val="TableParagraph"/>
              <w:ind w:left="0"/>
              <w:jc w:val="both"/>
              <w:rPr>
                <w:sz w:val="24"/>
                <w:szCs w:val="24"/>
                <w:lang w:val="ru-RU"/>
              </w:rPr>
            </w:pPr>
          </w:p>
        </w:tc>
        <w:tc>
          <w:tcPr>
            <w:tcW w:w="2984" w:type="dxa"/>
          </w:tcPr>
          <w:p w:rsidR="00307F60" w:rsidRPr="00307F60" w:rsidRDefault="00307F60" w:rsidP="00711510">
            <w:pPr>
              <w:pStyle w:val="TableParagraph"/>
              <w:ind w:left="0"/>
              <w:jc w:val="both"/>
              <w:rPr>
                <w:sz w:val="24"/>
                <w:szCs w:val="24"/>
                <w:lang w:val="ru-RU"/>
              </w:rPr>
            </w:pPr>
          </w:p>
        </w:tc>
        <w:tc>
          <w:tcPr>
            <w:tcW w:w="3695"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 чинним законодавством.</w:t>
      </w:r>
    </w:p>
    <w:p w:rsidR="00D76E1A" w:rsidRPr="00D76E1A" w:rsidRDefault="00D76E1A" w:rsidP="00794BE1">
      <w:pPr>
        <w:jc w:val="right"/>
        <w:rPr>
          <w:rFonts w:ascii="Times New Roman" w:hAnsi="Times New Roman" w:cs="Times New Roman"/>
          <w:sz w:val="24"/>
          <w:szCs w:val="24"/>
        </w:rPr>
      </w:pPr>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9" w:rsidRDefault="007D7119" w:rsidP="000B7044">
      <w:pPr>
        <w:spacing w:after="0" w:line="240" w:lineRule="auto"/>
      </w:pPr>
      <w:r>
        <w:separator/>
      </w:r>
    </w:p>
  </w:endnote>
  <w:endnote w:type="continuationSeparator" w:id="0">
    <w:p w:rsidR="007D7119" w:rsidRDefault="007D7119"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EndPr/>
    <w:sdtContent>
      <w:p w:rsidR="0023437F" w:rsidRDefault="0023437F">
        <w:pPr>
          <w:pStyle w:val="a8"/>
          <w:jc w:val="right"/>
        </w:pPr>
        <w:r>
          <w:rPr>
            <w:noProof/>
            <w:lang w:val="ru-RU"/>
          </w:rPr>
          <w:fldChar w:fldCharType="begin"/>
        </w:r>
        <w:r>
          <w:rPr>
            <w:noProof/>
            <w:lang w:val="ru-RU"/>
          </w:rPr>
          <w:instrText>PAGE   \* MERGEFORMAT</w:instrText>
        </w:r>
        <w:r>
          <w:rPr>
            <w:noProof/>
            <w:lang w:val="ru-RU"/>
          </w:rPr>
          <w:fldChar w:fldCharType="separate"/>
        </w:r>
        <w:r w:rsidR="000024A7">
          <w:rPr>
            <w:noProof/>
            <w:lang w:val="ru-RU"/>
          </w:rPr>
          <w:t>53</w:t>
        </w:r>
        <w:r>
          <w:rPr>
            <w:noProof/>
            <w:lang w:val="ru-RU"/>
          </w:rPr>
          <w:fldChar w:fldCharType="end"/>
        </w:r>
      </w:p>
    </w:sdtContent>
  </w:sdt>
  <w:p w:rsidR="0023437F" w:rsidRDefault="00234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9" w:rsidRDefault="007D7119" w:rsidP="000B7044">
      <w:pPr>
        <w:spacing w:after="0" w:line="240" w:lineRule="auto"/>
      </w:pPr>
      <w:r>
        <w:separator/>
      </w:r>
    </w:p>
  </w:footnote>
  <w:footnote w:type="continuationSeparator" w:id="0">
    <w:p w:rsidR="007D7119" w:rsidRDefault="007D7119"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024A7"/>
    <w:rsid w:val="00023551"/>
    <w:rsid w:val="00037166"/>
    <w:rsid w:val="00042FAB"/>
    <w:rsid w:val="00063E4A"/>
    <w:rsid w:val="00064D8E"/>
    <w:rsid w:val="000716CD"/>
    <w:rsid w:val="000A6EF8"/>
    <w:rsid w:val="000B7044"/>
    <w:rsid w:val="000C4F53"/>
    <w:rsid w:val="000E126B"/>
    <w:rsid w:val="000E55A2"/>
    <w:rsid w:val="000E5C7C"/>
    <w:rsid w:val="00113813"/>
    <w:rsid w:val="00116F94"/>
    <w:rsid w:val="00143418"/>
    <w:rsid w:val="00144E95"/>
    <w:rsid w:val="001832A1"/>
    <w:rsid w:val="00183B05"/>
    <w:rsid w:val="001C1A11"/>
    <w:rsid w:val="001D30CB"/>
    <w:rsid w:val="001D75D5"/>
    <w:rsid w:val="001E2A70"/>
    <w:rsid w:val="001F2F08"/>
    <w:rsid w:val="0023437F"/>
    <w:rsid w:val="00235420"/>
    <w:rsid w:val="002360BE"/>
    <w:rsid w:val="002435EC"/>
    <w:rsid w:val="00267C53"/>
    <w:rsid w:val="0028471D"/>
    <w:rsid w:val="002949C0"/>
    <w:rsid w:val="002A134F"/>
    <w:rsid w:val="002A213B"/>
    <w:rsid w:val="002A6E6B"/>
    <w:rsid w:val="002B30D8"/>
    <w:rsid w:val="002C58FC"/>
    <w:rsid w:val="00307F60"/>
    <w:rsid w:val="00327AFB"/>
    <w:rsid w:val="00332DB8"/>
    <w:rsid w:val="00356081"/>
    <w:rsid w:val="00357672"/>
    <w:rsid w:val="00366DC2"/>
    <w:rsid w:val="00382933"/>
    <w:rsid w:val="0038353C"/>
    <w:rsid w:val="0038679B"/>
    <w:rsid w:val="003C2967"/>
    <w:rsid w:val="003E2528"/>
    <w:rsid w:val="003E5B0C"/>
    <w:rsid w:val="003F3F3C"/>
    <w:rsid w:val="003F54FC"/>
    <w:rsid w:val="004073BF"/>
    <w:rsid w:val="004135DA"/>
    <w:rsid w:val="004243C0"/>
    <w:rsid w:val="004473DE"/>
    <w:rsid w:val="0046198A"/>
    <w:rsid w:val="00463E34"/>
    <w:rsid w:val="00491203"/>
    <w:rsid w:val="0049392B"/>
    <w:rsid w:val="004A6228"/>
    <w:rsid w:val="004B1E21"/>
    <w:rsid w:val="004C45E4"/>
    <w:rsid w:val="004D0C7A"/>
    <w:rsid w:val="004D2A08"/>
    <w:rsid w:val="004E3149"/>
    <w:rsid w:val="004E367E"/>
    <w:rsid w:val="00500F17"/>
    <w:rsid w:val="0050607E"/>
    <w:rsid w:val="00510D25"/>
    <w:rsid w:val="005127CE"/>
    <w:rsid w:val="00525084"/>
    <w:rsid w:val="0053046E"/>
    <w:rsid w:val="00576C38"/>
    <w:rsid w:val="00585F8C"/>
    <w:rsid w:val="005A2B4A"/>
    <w:rsid w:val="005F5009"/>
    <w:rsid w:val="0063530A"/>
    <w:rsid w:val="00635BD4"/>
    <w:rsid w:val="0064137C"/>
    <w:rsid w:val="006741BC"/>
    <w:rsid w:val="006820ED"/>
    <w:rsid w:val="00686FAD"/>
    <w:rsid w:val="00693AAE"/>
    <w:rsid w:val="006959B5"/>
    <w:rsid w:val="00697ADE"/>
    <w:rsid w:val="006D040C"/>
    <w:rsid w:val="006E79C1"/>
    <w:rsid w:val="006F2BFF"/>
    <w:rsid w:val="006F3D23"/>
    <w:rsid w:val="007018AA"/>
    <w:rsid w:val="00711510"/>
    <w:rsid w:val="00722868"/>
    <w:rsid w:val="00724B5A"/>
    <w:rsid w:val="00726937"/>
    <w:rsid w:val="0073185C"/>
    <w:rsid w:val="00747FA3"/>
    <w:rsid w:val="00751405"/>
    <w:rsid w:val="00752A47"/>
    <w:rsid w:val="00773B7E"/>
    <w:rsid w:val="00783AFE"/>
    <w:rsid w:val="00794BE1"/>
    <w:rsid w:val="00795F0C"/>
    <w:rsid w:val="007A334D"/>
    <w:rsid w:val="007A3D21"/>
    <w:rsid w:val="007C56EC"/>
    <w:rsid w:val="007D67F2"/>
    <w:rsid w:val="007D7119"/>
    <w:rsid w:val="007E09AB"/>
    <w:rsid w:val="007E1616"/>
    <w:rsid w:val="007E6AE4"/>
    <w:rsid w:val="007F08D7"/>
    <w:rsid w:val="00867616"/>
    <w:rsid w:val="00886E62"/>
    <w:rsid w:val="00896161"/>
    <w:rsid w:val="008B5AF4"/>
    <w:rsid w:val="008B69CA"/>
    <w:rsid w:val="008D69BA"/>
    <w:rsid w:val="008F2E7D"/>
    <w:rsid w:val="009066BE"/>
    <w:rsid w:val="00914ACA"/>
    <w:rsid w:val="00940C88"/>
    <w:rsid w:val="00943DC8"/>
    <w:rsid w:val="0095689C"/>
    <w:rsid w:val="009627E3"/>
    <w:rsid w:val="00970806"/>
    <w:rsid w:val="00977509"/>
    <w:rsid w:val="00994FB3"/>
    <w:rsid w:val="009B28BD"/>
    <w:rsid w:val="009C18B2"/>
    <w:rsid w:val="009C4E40"/>
    <w:rsid w:val="009C62FC"/>
    <w:rsid w:val="009D71CB"/>
    <w:rsid w:val="009E383D"/>
    <w:rsid w:val="009F2DD8"/>
    <w:rsid w:val="00A34D5E"/>
    <w:rsid w:val="00A52CE8"/>
    <w:rsid w:val="00A67DC7"/>
    <w:rsid w:val="00AE092F"/>
    <w:rsid w:val="00AF16AC"/>
    <w:rsid w:val="00AF5473"/>
    <w:rsid w:val="00B01F15"/>
    <w:rsid w:val="00B30200"/>
    <w:rsid w:val="00B40DA5"/>
    <w:rsid w:val="00B43BC4"/>
    <w:rsid w:val="00B9297A"/>
    <w:rsid w:val="00BA113C"/>
    <w:rsid w:val="00BB358A"/>
    <w:rsid w:val="00BD0B6B"/>
    <w:rsid w:val="00BE5F97"/>
    <w:rsid w:val="00C07B42"/>
    <w:rsid w:val="00C2241F"/>
    <w:rsid w:val="00C25CA5"/>
    <w:rsid w:val="00C34309"/>
    <w:rsid w:val="00C34BE1"/>
    <w:rsid w:val="00C42DBD"/>
    <w:rsid w:val="00C47DDE"/>
    <w:rsid w:val="00C540D1"/>
    <w:rsid w:val="00C558DE"/>
    <w:rsid w:val="00C77E1B"/>
    <w:rsid w:val="00CA6767"/>
    <w:rsid w:val="00CB6BA8"/>
    <w:rsid w:val="00CC34C5"/>
    <w:rsid w:val="00CE552B"/>
    <w:rsid w:val="00D3271F"/>
    <w:rsid w:val="00D45B95"/>
    <w:rsid w:val="00D55BFC"/>
    <w:rsid w:val="00D76E1A"/>
    <w:rsid w:val="00D80E82"/>
    <w:rsid w:val="00DA3322"/>
    <w:rsid w:val="00DE60E0"/>
    <w:rsid w:val="00DE7BF0"/>
    <w:rsid w:val="00E00081"/>
    <w:rsid w:val="00E05716"/>
    <w:rsid w:val="00E202CE"/>
    <w:rsid w:val="00E23757"/>
    <w:rsid w:val="00E2412E"/>
    <w:rsid w:val="00E34CCD"/>
    <w:rsid w:val="00E653DC"/>
    <w:rsid w:val="00E66FD1"/>
    <w:rsid w:val="00E86CB8"/>
    <w:rsid w:val="00E878BB"/>
    <w:rsid w:val="00EB486F"/>
    <w:rsid w:val="00EC39E5"/>
    <w:rsid w:val="00EC455B"/>
    <w:rsid w:val="00ED621C"/>
    <w:rsid w:val="00ED6E01"/>
    <w:rsid w:val="00EE60B9"/>
    <w:rsid w:val="00F079FA"/>
    <w:rsid w:val="00F470F0"/>
    <w:rsid w:val="00F520DF"/>
    <w:rsid w:val="00F92CB2"/>
    <w:rsid w:val="00F97778"/>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0E22"/>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FAD"/>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4823-53F1-4C60-ADF9-30A1A9EC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53</Pages>
  <Words>93798</Words>
  <Characters>53465</Characters>
  <Application>Microsoft Office Word</Application>
  <DocSecurity>0</DocSecurity>
  <Lines>445</Lines>
  <Paragraphs>293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2024-04-08T08:39:00Z</dcterms:created>
  <dcterms:modified xsi:type="dcterms:W3CDTF">2024-04-22T12:17:00Z</dcterms:modified>
</cp:coreProperties>
</file>