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03146F3A" w:rsidR="008B6A3E" w:rsidRP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C472D2">
        <w:rPr>
          <w:rFonts w:ascii="Times New Roman" w:hAnsi="Times New Roman" w:cs="Times New Roman"/>
          <w:b/>
          <w:bCs/>
          <w:sz w:val="25"/>
          <w:szCs w:val="25"/>
        </w:rPr>
        <w:t>27</w:t>
      </w:r>
      <w:r>
        <w:rPr>
          <w:rFonts w:ascii="Times New Roman" w:hAnsi="Times New Roman" w:cs="Times New Roman"/>
          <w:b/>
          <w:bCs/>
          <w:sz w:val="25"/>
          <w:szCs w:val="25"/>
        </w:rPr>
        <w:t>/0</w:t>
      </w:r>
      <w:r w:rsidR="00C472D2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C875F63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472D2">
        <w:rPr>
          <w:rFonts w:ascii="Times New Roman" w:hAnsi="Times New Roman" w:cs="Times New Roman"/>
          <w:b/>
          <w:bCs/>
          <w:sz w:val="25"/>
          <w:szCs w:val="25"/>
          <w:lang w:val="ru-RU"/>
        </w:rPr>
        <w:t>27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472D2">
        <w:rPr>
          <w:rFonts w:ascii="Times New Roman" w:hAnsi="Times New Roman" w:cs="Times New Roman"/>
          <w:b/>
          <w:bCs/>
          <w:sz w:val="25"/>
          <w:szCs w:val="25"/>
        </w:rPr>
        <w:t>квітня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79E1F9AD" w14:textId="4039B66C" w:rsidR="008B6A3E" w:rsidRDefault="008B6A3E" w:rsidP="008B6A3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472D2" w:rsidRPr="00946406">
        <w:rPr>
          <w:rFonts w:ascii="Times New Roman" w:hAnsi="Times New Roman"/>
          <w:b/>
          <w:bCs/>
        </w:rPr>
        <w:t>послу</w:t>
      </w:r>
      <w:r w:rsidR="00C472D2">
        <w:rPr>
          <w:rFonts w:ascii="Times New Roman" w:hAnsi="Times New Roman"/>
          <w:b/>
          <w:bCs/>
        </w:rPr>
        <w:t xml:space="preserve">ги з розміщення інформації в мережі інтернет </w:t>
      </w:r>
      <w:r w:rsidR="00C472D2" w:rsidRPr="00946406">
        <w:rPr>
          <w:rFonts w:ascii="Times New Roman" w:hAnsi="Times New Roman"/>
          <w:b/>
          <w:bCs/>
        </w:rPr>
        <w:t>(домен та хост</w:t>
      </w:r>
      <w:r w:rsidR="00C472D2">
        <w:rPr>
          <w:rFonts w:ascii="Times New Roman" w:hAnsi="Times New Roman"/>
          <w:b/>
          <w:bCs/>
        </w:rPr>
        <w:t>и</w:t>
      </w:r>
      <w:r w:rsidR="00C472D2" w:rsidRPr="00946406">
        <w:rPr>
          <w:rFonts w:ascii="Times New Roman" w:hAnsi="Times New Roman"/>
          <w:b/>
          <w:bCs/>
        </w:rPr>
        <w:t>нг)</w:t>
      </w:r>
      <w:r w:rsidR="00C47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(далі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6D346040" w14:textId="77777777" w:rsidR="008B6A3E" w:rsidRDefault="008B6A3E" w:rsidP="008B6A3E">
      <w:pPr>
        <w:shd w:val="clear" w:color="auto" w:fill="FFFFFF"/>
        <w:spacing w:after="0" w:line="240" w:lineRule="auto"/>
        <w:ind w:leftChars="399" w:left="880" w:hanging="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3947B05B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вартість </w:t>
      </w:r>
      <w:r w:rsidR="00C472D2">
        <w:rPr>
          <w:rFonts w:ascii="Times New Roman" w:hAnsi="Times New Roman" w:cs="Times New Roman"/>
          <w:sz w:val="24"/>
          <w:szCs w:val="24"/>
          <w:lang w:val="ru-RU"/>
        </w:rPr>
        <w:t xml:space="preserve">9 700 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="00C472D2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FE274C" w14:textId="56054299" w:rsidR="00157D86" w:rsidRPr="00157D86" w:rsidRDefault="008B6A3E" w:rsidP="00157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472D2" w:rsidRPr="00946406">
        <w:rPr>
          <w:rFonts w:ascii="Times New Roman" w:hAnsi="Times New Roman"/>
          <w:b/>
          <w:bCs/>
        </w:rPr>
        <w:t>послу</w:t>
      </w:r>
      <w:r w:rsidR="00C472D2">
        <w:rPr>
          <w:rFonts w:ascii="Times New Roman" w:hAnsi="Times New Roman"/>
          <w:b/>
          <w:bCs/>
        </w:rPr>
        <w:t xml:space="preserve">ги з розміщення інформації в мережі інтернет </w:t>
      </w:r>
      <w:r w:rsidR="00C472D2" w:rsidRPr="00946406">
        <w:rPr>
          <w:rFonts w:ascii="Times New Roman" w:hAnsi="Times New Roman"/>
          <w:b/>
          <w:bCs/>
        </w:rPr>
        <w:t>(домен та хост</w:t>
      </w:r>
      <w:r w:rsidR="00C472D2">
        <w:rPr>
          <w:rFonts w:ascii="Times New Roman" w:hAnsi="Times New Roman"/>
          <w:b/>
          <w:bCs/>
        </w:rPr>
        <w:t>и</w:t>
      </w:r>
      <w:r w:rsidR="00C472D2" w:rsidRPr="00946406">
        <w:rPr>
          <w:rFonts w:ascii="Times New Roman" w:hAnsi="Times New Roman"/>
          <w:b/>
          <w:bCs/>
        </w:rPr>
        <w:t>нг)</w:t>
      </w:r>
    </w:p>
    <w:p w14:paraId="3D477245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8F798CE" w14:textId="40CD4951" w:rsidR="008B6A3E" w:rsidRDefault="008B6A3E" w:rsidP="008B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прилюднити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предметом: </w:t>
      </w:r>
      <w:r w:rsidR="00C472D2" w:rsidRPr="00946406">
        <w:rPr>
          <w:rFonts w:ascii="Times New Roman" w:hAnsi="Times New Roman"/>
          <w:b/>
          <w:bCs/>
        </w:rPr>
        <w:t>послу</w:t>
      </w:r>
      <w:r w:rsidR="00C472D2">
        <w:rPr>
          <w:rFonts w:ascii="Times New Roman" w:hAnsi="Times New Roman"/>
          <w:b/>
          <w:bCs/>
        </w:rPr>
        <w:t xml:space="preserve">ги з розміщення інформації в мережі інтернет </w:t>
      </w:r>
      <w:r w:rsidR="00C472D2" w:rsidRPr="00946406">
        <w:rPr>
          <w:rFonts w:ascii="Times New Roman" w:hAnsi="Times New Roman"/>
          <w:b/>
          <w:bCs/>
        </w:rPr>
        <w:t>(домен та хост</w:t>
      </w:r>
      <w:r w:rsidR="00C472D2">
        <w:rPr>
          <w:rFonts w:ascii="Times New Roman" w:hAnsi="Times New Roman"/>
          <w:b/>
          <w:bCs/>
        </w:rPr>
        <w:t>и</w:t>
      </w:r>
      <w:r w:rsidR="00C472D2" w:rsidRPr="00946406">
        <w:rPr>
          <w:rFonts w:ascii="Times New Roman" w:hAnsi="Times New Roman"/>
          <w:b/>
          <w:bCs/>
        </w:rPr>
        <w:t>нг)</w:t>
      </w:r>
      <w:r w:rsidR="00C472D2"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 системі</w:t>
      </w:r>
      <w:r>
        <w:rPr>
          <w:rFonts w:ascii="Times New Roman" w:eastAsia="Times New Roman" w:hAnsi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4"/>
      <w:r>
        <w:rPr>
          <w:rFonts w:ascii="Times New Roman" w:eastAsia="Times New Roman" w:hAnsi="Times New Roman"/>
          <w:sz w:val="24"/>
          <w:szCs w:val="24"/>
        </w:rPr>
        <w:t>.</w:t>
      </w:r>
    </w:p>
    <w:p w14:paraId="28FEE03E" w14:textId="392C9E4D" w:rsidR="008B6A3E" w:rsidRDefault="008B6A3E" w:rsidP="008B6A3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</w:pPr>
      <w:bookmarkStart w:id="5" w:name="_Hlk84268683"/>
    </w:p>
    <w:p w14:paraId="7FC1C337" w14:textId="77777777" w:rsidR="00157D86" w:rsidRDefault="00157D86" w:rsidP="008B6A3E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8B6A3E">
      <w:pgSz w:w="11906" w:h="16838"/>
      <w:pgMar w:top="3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8618B"/>
    <w:rsid w:val="00157D86"/>
    <w:rsid w:val="004470EC"/>
    <w:rsid w:val="008B6A3E"/>
    <w:rsid w:val="00C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2023-04-27T10:21:00Z</dcterms:created>
  <dcterms:modified xsi:type="dcterms:W3CDTF">2023-04-27T10:21:00Z</dcterms:modified>
</cp:coreProperties>
</file>