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bookmarkStart w:id="0" w:name="_GoBack"/>
      <w:bookmarkEnd w:id="0"/>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55229EC7"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13321D">
        <w:rPr>
          <w:sz w:val="24"/>
          <w:szCs w:val="24"/>
          <w:lang w:val="ru-RU"/>
        </w:rPr>
        <w:t>2</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26DABF95"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13321D">
        <w:rPr>
          <w:sz w:val="24"/>
          <w:szCs w:val="24"/>
          <w:lang w:val="ru-RU"/>
        </w:rPr>
        <w:t>2</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3049ECBE"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13321D">
        <w:rPr>
          <w:sz w:val="24"/>
          <w:szCs w:val="24"/>
          <w:lang w:val="ru-RU"/>
        </w:rPr>
        <w:t>15</w:t>
      </w:r>
      <w:r w:rsidRPr="00B32C10">
        <w:rPr>
          <w:sz w:val="24"/>
          <w:szCs w:val="24"/>
        </w:rPr>
        <w:t xml:space="preserve"> </w:t>
      </w:r>
      <w:r w:rsidR="0013321D">
        <w:rPr>
          <w:sz w:val="24"/>
          <w:szCs w:val="24"/>
        </w:rPr>
        <w:t xml:space="preserve">грудня </w:t>
      </w:r>
      <w:r w:rsidRPr="00B32C10">
        <w:rPr>
          <w:sz w:val="24"/>
          <w:szCs w:val="24"/>
        </w:rPr>
        <w:t>202</w:t>
      </w:r>
      <w:r w:rsidR="0013321D">
        <w:rPr>
          <w:sz w:val="24"/>
          <w:szCs w:val="24"/>
        </w:rPr>
        <w:t>2</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7ED70C0D" w:rsidR="003F37AB" w:rsidRPr="000F2552" w:rsidRDefault="003F37AB" w:rsidP="00C727E6">
      <w:pPr>
        <w:shd w:val="clear" w:color="auto" w:fill="FFFFFF"/>
        <w:ind w:firstLine="540"/>
        <w:jc w:val="both"/>
        <w:rPr>
          <w:sz w:val="24"/>
          <w:szCs w:val="24"/>
        </w:rPr>
      </w:pPr>
      <w:r w:rsidRPr="00B32C10">
        <w:rPr>
          <w:sz w:val="24"/>
          <w:szCs w:val="24"/>
        </w:rPr>
        <w:t xml:space="preserve">1.2. Найменування предмету закупівлі - </w:t>
      </w:r>
      <w:r w:rsidR="00C727E6" w:rsidRPr="00C727E6">
        <w:rPr>
          <w:sz w:val="24"/>
          <w:szCs w:val="24"/>
        </w:rPr>
        <w:t xml:space="preserve">ДК 021:2015 – </w:t>
      </w:r>
      <w:r w:rsidR="004C4503" w:rsidRPr="004C4503">
        <w:rPr>
          <w:sz w:val="24"/>
          <w:szCs w:val="24"/>
        </w:rPr>
        <w:t>30230000-0 Комп’ютерне обладнання</w:t>
      </w:r>
      <w:r w:rsidR="0013321D" w:rsidRPr="0013321D">
        <w:rPr>
          <w:sz w:val="24"/>
          <w:szCs w:val="24"/>
        </w:rPr>
        <w:t xml:space="preserve"> (</w:t>
      </w:r>
      <w:r w:rsidR="00A67F83">
        <w:rPr>
          <w:sz w:val="24"/>
          <w:szCs w:val="24"/>
        </w:rPr>
        <w:t>П</w:t>
      </w:r>
      <w:r w:rsidR="004C4503">
        <w:rPr>
          <w:sz w:val="24"/>
          <w:szCs w:val="24"/>
        </w:rPr>
        <w:t>ри</w:t>
      </w:r>
      <w:r w:rsidR="00A67F83">
        <w:rPr>
          <w:sz w:val="24"/>
          <w:szCs w:val="24"/>
        </w:rPr>
        <w:t>нтери</w:t>
      </w:r>
      <w:r w:rsidR="0013321D" w:rsidRPr="0013321D">
        <w:rPr>
          <w:sz w:val="24"/>
          <w:szCs w:val="24"/>
        </w:rPr>
        <w:t>)</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29624616" w14:textId="77777777" w:rsidR="003F37AB" w:rsidRPr="00363A8C" w:rsidRDefault="003F37AB" w:rsidP="0020026E">
      <w:pPr>
        <w:shd w:val="clear" w:color="auto" w:fill="FFFFFF"/>
        <w:ind w:firstLine="360"/>
        <w:jc w:val="both"/>
        <w:rPr>
          <w:sz w:val="24"/>
          <w:szCs w:val="24"/>
        </w:rPr>
      </w:pPr>
      <w:r w:rsidRPr="00363A8C">
        <w:rPr>
          <w:sz w:val="24"/>
          <w:szCs w:val="24"/>
          <w:lang w:val="ru-RU"/>
        </w:rPr>
        <w:t xml:space="preserve"> 2</w:t>
      </w:r>
      <w:r w:rsidRPr="00363A8C">
        <w:rPr>
          <w:sz w:val="24"/>
          <w:szCs w:val="24"/>
        </w:rPr>
        <w:t>.2. Товар є новим та таким, що раніше не використовувався.</w:t>
      </w:r>
    </w:p>
    <w:p w14:paraId="3A2771E4" w14:textId="77777777" w:rsidR="003F37AB" w:rsidRPr="00363A8C" w:rsidRDefault="003F37AB" w:rsidP="0020026E">
      <w:pPr>
        <w:shd w:val="clear" w:color="auto" w:fill="FFFFFF"/>
        <w:ind w:firstLine="360"/>
        <w:jc w:val="both"/>
        <w:rPr>
          <w:sz w:val="24"/>
          <w:szCs w:val="24"/>
        </w:rPr>
      </w:pPr>
      <w:r w:rsidRPr="00363A8C">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w:t>
      </w:r>
      <w:r w:rsidRPr="00363A8C">
        <w:rPr>
          <w:sz w:val="24"/>
          <w:szCs w:val="24"/>
        </w:rPr>
        <w:lastRenderedPageBreak/>
        <w:t>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363A8C">
        <w:rPr>
          <w:sz w:val="24"/>
          <w:szCs w:val="24"/>
        </w:rPr>
        <w:t>товаросупровідних</w:t>
      </w:r>
      <w:proofErr w:type="spellEnd"/>
      <w:r w:rsidRPr="00363A8C">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77777777" w:rsidR="003F37AB" w:rsidRPr="000F2552" w:rsidRDefault="003F37AB" w:rsidP="0020026E">
      <w:pPr>
        <w:shd w:val="clear" w:color="auto" w:fill="FFFFFF"/>
        <w:ind w:firstLine="540"/>
        <w:jc w:val="both"/>
        <w:rPr>
          <w:sz w:val="24"/>
          <w:szCs w:val="24"/>
        </w:rPr>
      </w:pPr>
      <w:r w:rsidRPr="000F2552">
        <w:rPr>
          <w:sz w:val="24"/>
          <w:szCs w:val="24"/>
        </w:rPr>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0267573D"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B03F9B">
        <w:rPr>
          <w:sz w:val="24"/>
          <w:szCs w:val="24"/>
        </w:rPr>
        <w:t>15</w:t>
      </w:r>
      <w:r w:rsidRPr="000F2552">
        <w:rPr>
          <w:sz w:val="24"/>
          <w:szCs w:val="24"/>
        </w:rPr>
        <w:t>.</w:t>
      </w:r>
      <w:r w:rsidR="00B03F9B">
        <w:rPr>
          <w:sz w:val="24"/>
          <w:szCs w:val="24"/>
        </w:rPr>
        <w:t>12</w:t>
      </w:r>
      <w:r w:rsidRPr="000F2552">
        <w:rPr>
          <w:sz w:val="24"/>
          <w:szCs w:val="24"/>
        </w:rPr>
        <w:t>.202</w:t>
      </w:r>
      <w:r w:rsidR="00B03F9B">
        <w:rPr>
          <w:sz w:val="24"/>
          <w:szCs w:val="24"/>
        </w:rPr>
        <w:t>2</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5E0F4E7B"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0F2552">
        <w:rPr>
          <w:sz w:val="24"/>
          <w:szCs w:val="24"/>
        </w:rPr>
        <w:t xml:space="preserve">вул. </w:t>
      </w:r>
      <w:r w:rsidR="006B7DDC" w:rsidRPr="006B7DDC">
        <w:rPr>
          <w:sz w:val="24"/>
          <w:szCs w:val="24"/>
        </w:rPr>
        <w:t xml:space="preserve">Гната </w:t>
      </w:r>
      <w:proofErr w:type="spellStart"/>
      <w:r w:rsidR="006B7DDC" w:rsidRPr="006B7DDC">
        <w:rPr>
          <w:sz w:val="24"/>
          <w:szCs w:val="24"/>
        </w:rPr>
        <w:t>Чекірди</w:t>
      </w:r>
      <w:proofErr w:type="spellEnd"/>
      <w:r w:rsidR="006B7DDC" w:rsidRPr="006B7DDC">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lastRenderedPageBreak/>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6802E992"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3748A0">
        <w:rPr>
          <w:sz w:val="24"/>
          <w:szCs w:val="24"/>
        </w:rPr>
        <w:t>2</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3A30D9" w:rsidRDefault="003F37AB" w:rsidP="0020026E">
      <w:pPr>
        <w:shd w:val="clear" w:color="auto" w:fill="FFFFFF"/>
        <w:ind w:firstLine="540"/>
        <w:jc w:val="center"/>
        <w:rPr>
          <w:b/>
          <w:bCs/>
          <w:sz w:val="24"/>
          <w:szCs w:val="24"/>
        </w:rPr>
      </w:pPr>
      <w:r w:rsidRPr="003A30D9">
        <w:rPr>
          <w:b/>
          <w:bCs/>
          <w:sz w:val="24"/>
          <w:szCs w:val="24"/>
        </w:rPr>
        <w:t>12. ІНШІ УМОВИ</w:t>
      </w:r>
    </w:p>
    <w:p w14:paraId="0C5BF357" w14:textId="77777777" w:rsidR="006B7DDC" w:rsidRPr="003A30D9" w:rsidRDefault="003F37AB" w:rsidP="006B7DDC">
      <w:pPr>
        <w:ind w:firstLine="540"/>
        <w:jc w:val="both"/>
        <w:rPr>
          <w:sz w:val="24"/>
          <w:szCs w:val="24"/>
          <w:lang w:eastAsia="uk-UA"/>
        </w:rPr>
      </w:pPr>
      <w:r w:rsidRPr="003A30D9">
        <w:rPr>
          <w:sz w:val="24"/>
          <w:szCs w:val="24"/>
        </w:rPr>
        <w:t xml:space="preserve">12.1. </w:t>
      </w:r>
      <w:r w:rsidR="006B7DDC" w:rsidRPr="003A30D9">
        <w:rPr>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E930AFA" w14:textId="77777777" w:rsidR="006B7DDC" w:rsidRPr="003A30D9" w:rsidRDefault="006B7DDC" w:rsidP="006B7DDC">
      <w:pPr>
        <w:ind w:firstLine="540"/>
        <w:jc w:val="both"/>
        <w:rPr>
          <w:sz w:val="24"/>
          <w:szCs w:val="24"/>
          <w:lang w:eastAsia="uk-UA"/>
        </w:rPr>
      </w:pPr>
      <w:r w:rsidRPr="003A30D9">
        <w:rPr>
          <w:sz w:val="24"/>
          <w:szCs w:val="24"/>
          <w:lang w:eastAsia="uk-UA"/>
        </w:rPr>
        <w:t xml:space="preserve">визначення грошового еквівалента зобов’язання в іноземній валюті; </w:t>
      </w:r>
    </w:p>
    <w:p w14:paraId="2A18DF68" w14:textId="77777777" w:rsidR="006B7DDC" w:rsidRPr="003A30D9" w:rsidRDefault="006B7DDC" w:rsidP="006B7DDC">
      <w:pPr>
        <w:ind w:firstLine="540"/>
        <w:jc w:val="both"/>
        <w:rPr>
          <w:sz w:val="24"/>
          <w:szCs w:val="24"/>
          <w:lang w:eastAsia="uk-UA"/>
        </w:rPr>
      </w:pPr>
      <w:r w:rsidRPr="003A30D9">
        <w:rPr>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3F504E" w14:textId="77777777" w:rsidR="006B7DDC" w:rsidRPr="003A30D9" w:rsidRDefault="006B7DDC" w:rsidP="006B7DDC">
      <w:pPr>
        <w:ind w:firstLine="540"/>
        <w:jc w:val="both"/>
        <w:rPr>
          <w:sz w:val="24"/>
          <w:szCs w:val="24"/>
          <w:lang w:eastAsia="uk-UA"/>
        </w:rPr>
      </w:pPr>
      <w:r w:rsidRPr="003A30D9">
        <w:rPr>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2F88AA9" w14:textId="2C57FB87" w:rsidR="006B7DDC" w:rsidRPr="003A30D9" w:rsidRDefault="006B7DDC" w:rsidP="006B7DDC">
      <w:pPr>
        <w:ind w:firstLine="540"/>
        <w:jc w:val="both"/>
        <w:rPr>
          <w:sz w:val="24"/>
          <w:szCs w:val="24"/>
          <w:lang w:eastAsia="uk-UA"/>
        </w:rPr>
      </w:pPr>
      <w:r w:rsidRPr="003A30D9">
        <w:rPr>
          <w:sz w:val="24"/>
          <w:szCs w:val="24"/>
          <w:lang w:val="ru-RU" w:eastAsia="uk-UA"/>
        </w:rPr>
        <w:t>12</w:t>
      </w:r>
      <w:r w:rsidRPr="003A30D9">
        <w:rPr>
          <w:sz w:val="24"/>
          <w:szCs w:val="24"/>
          <w:lang w:eastAsia="uk-UA"/>
        </w:rPr>
        <w:t xml:space="preserve">.2. Істотні умови договору про закупівлю не можуть змінюватися </w:t>
      </w:r>
      <w:proofErr w:type="gramStart"/>
      <w:r w:rsidRPr="003A30D9">
        <w:rPr>
          <w:sz w:val="24"/>
          <w:szCs w:val="24"/>
          <w:lang w:eastAsia="uk-UA"/>
        </w:rPr>
        <w:t>п</w:t>
      </w:r>
      <w:proofErr w:type="gramEnd"/>
      <w:r w:rsidRPr="003A30D9">
        <w:rPr>
          <w:sz w:val="24"/>
          <w:szCs w:val="24"/>
          <w:lang w:eastAsia="uk-UA"/>
        </w:rPr>
        <w:t>ісля його підписання до виконання зобов’язань сторонами в повному обсязі, крім випадків:</w:t>
      </w:r>
    </w:p>
    <w:p w14:paraId="43EC7CCA" w14:textId="77777777" w:rsidR="006B7DDC" w:rsidRPr="003A30D9" w:rsidRDefault="006B7DDC" w:rsidP="006B7DDC">
      <w:pPr>
        <w:ind w:firstLine="540"/>
        <w:jc w:val="both"/>
        <w:rPr>
          <w:sz w:val="24"/>
          <w:szCs w:val="24"/>
          <w:lang w:eastAsia="uk-UA"/>
        </w:rPr>
      </w:pPr>
      <w:r w:rsidRPr="003A30D9">
        <w:rPr>
          <w:sz w:val="24"/>
          <w:szCs w:val="24"/>
          <w:lang w:eastAsia="uk-UA"/>
        </w:rPr>
        <w:t>1) зменшення обсягів закупівлі, зокрема з урахуванням фактичного обсягу видатків замовника;</w:t>
      </w:r>
    </w:p>
    <w:p w14:paraId="627C33E9" w14:textId="77777777" w:rsidR="006B7DDC" w:rsidRPr="003A30D9" w:rsidRDefault="006B7DDC" w:rsidP="006B7DDC">
      <w:pPr>
        <w:ind w:firstLine="540"/>
        <w:jc w:val="both"/>
        <w:rPr>
          <w:sz w:val="24"/>
          <w:szCs w:val="24"/>
          <w:lang w:eastAsia="uk-UA"/>
        </w:rPr>
      </w:pPr>
      <w:r w:rsidRPr="003A30D9">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E06C60" w14:textId="77777777" w:rsidR="006B7DDC" w:rsidRPr="003A30D9" w:rsidRDefault="006B7DDC" w:rsidP="006B7DDC">
      <w:pPr>
        <w:ind w:firstLine="540"/>
        <w:jc w:val="both"/>
        <w:rPr>
          <w:sz w:val="24"/>
          <w:szCs w:val="24"/>
          <w:lang w:eastAsia="uk-UA"/>
        </w:rPr>
      </w:pPr>
      <w:r w:rsidRPr="003A30D9">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9AA8CF2" w14:textId="77777777" w:rsidR="006B7DDC" w:rsidRPr="003A30D9" w:rsidRDefault="006B7DDC" w:rsidP="006B7DDC">
      <w:pPr>
        <w:ind w:firstLine="540"/>
        <w:jc w:val="both"/>
        <w:rPr>
          <w:sz w:val="24"/>
          <w:szCs w:val="24"/>
          <w:lang w:eastAsia="uk-UA"/>
        </w:rPr>
      </w:pPr>
      <w:r w:rsidRPr="003A30D9">
        <w:rPr>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EDF33D" w14:textId="77777777" w:rsidR="006B7DDC" w:rsidRPr="003A30D9" w:rsidRDefault="006B7DDC" w:rsidP="006B7DDC">
      <w:pPr>
        <w:ind w:firstLine="540"/>
        <w:jc w:val="both"/>
        <w:rPr>
          <w:sz w:val="24"/>
          <w:szCs w:val="24"/>
          <w:lang w:eastAsia="uk-UA"/>
        </w:rPr>
      </w:pPr>
      <w:r w:rsidRPr="003A30D9">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9991E09" w14:textId="77777777" w:rsidR="006B7DDC" w:rsidRPr="003A30D9" w:rsidRDefault="006B7DDC" w:rsidP="006B7DDC">
      <w:pPr>
        <w:ind w:firstLine="540"/>
        <w:jc w:val="both"/>
        <w:rPr>
          <w:sz w:val="24"/>
          <w:szCs w:val="24"/>
          <w:lang w:eastAsia="uk-UA"/>
        </w:rPr>
      </w:pPr>
      <w:r w:rsidRPr="003A30D9">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622225EB" w14:textId="77777777" w:rsidR="006B7DDC" w:rsidRPr="003A30D9" w:rsidRDefault="006B7DDC" w:rsidP="006B7DDC">
      <w:pPr>
        <w:ind w:firstLine="540"/>
        <w:jc w:val="both"/>
        <w:rPr>
          <w:sz w:val="24"/>
          <w:szCs w:val="24"/>
          <w:lang w:eastAsia="uk-UA"/>
        </w:rPr>
      </w:pPr>
      <w:r w:rsidRPr="003A30D9">
        <w:rPr>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5A2BA" w14:textId="77777777" w:rsidR="006B7DDC" w:rsidRPr="003A30D9" w:rsidRDefault="006B7DDC" w:rsidP="006B7DDC">
      <w:pPr>
        <w:ind w:firstLine="540"/>
        <w:jc w:val="both"/>
        <w:rPr>
          <w:sz w:val="24"/>
          <w:szCs w:val="24"/>
          <w:lang w:eastAsia="uk-UA"/>
        </w:rPr>
      </w:pPr>
      <w:r w:rsidRPr="003A30D9">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0D9">
        <w:rPr>
          <w:sz w:val="24"/>
          <w:szCs w:val="24"/>
          <w:lang w:eastAsia="uk-UA"/>
        </w:rPr>
        <w:t>Platts</w:t>
      </w:r>
      <w:proofErr w:type="spellEnd"/>
      <w:r w:rsidRPr="003A30D9">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832BD3" w14:textId="77777777" w:rsidR="006B7DDC" w:rsidRPr="003A30D9" w:rsidRDefault="006B7DDC" w:rsidP="006B7DDC">
      <w:pPr>
        <w:ind w:firstLine="540"/>
        <w:jc w:val="both"/>
        <w:rPr>
          <w:sz w:val="24"/>
          <w:szCs w:val="24"/>
          <w:lang w:val="ru-RU" w:eastAsia="uk-UA"/>
        </w:rPr>
      </w:pPr>
      <w:r w:rsidRPr="003A30D9">
        <w:rPr>
          <w:sz w:val="24"/>
          <w:szCs w:val="24"/>
          <w:lang w:eastAsia="uk-UA"/>
        </w:rPr>
        <w:t>8) зміни умов у зв’язку із застосуванням положень частини шостої статті 41 Закону.</w:t>
      </w:r>
    </w:p>
    <w:p w14:paraId="0BF4604C" w14:textId="71D4028D" w:rsidR="003F37AB" w:rsidRPr="000F2552" w:rsidRDefault="003F37AB" w:rsidP="006B7DDC">
      <w:pPr>
        <w:ind w:firstLine="540"/>
        <w:jc w:val="both"/>
        <w:rPr>
          <w:sz w:val="24"/>
          <w:szCs w:val="24"/>
        </w:rPr>
      </w:pPr>
      <w:r w:rsidRPr="000F2552">
        <w:rPr>
          <w:sz w:val="24"/>
          <w:szCs w:val="24"/>
        </w:rPr>
        <w:t>12.3. Цей Договір укладено відповідно до Закону України «Про публічні закупівлі»</w:t>
      </w:r>
      <w:r w:rsidR="006B7DDC" w:rsidRPr="006B7DDC">
        <w:rPr>
          <w:sz w:val="24"/>
          <w:szCs w:val="24"/>
          <w:lang w:eastAsia="uk-UA"/>
        </w:rPr>
        <w:t xml:space="preserve"> </w:t>
      </w:r>
      <w:r w:rsidR="006B7DDC" w:rsidRPr="00E24A84">
        <w:rPr>
          <w:sz w:val="24"/>
          <w:szCs w:val="24"/>
          <w:lang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0F2552">
        <w:rPr>
          <w:sz w:val="24"/>
          <w:szCs w:val="24"/>
        </w:rPr>
        <w:t>.</w:t>
      </w:r>
    </w:p>
    <w:p w14:paraId="391EF331" w14:textId="77777777" w:rsidR="003F37AB" w:rsidRPr="000F2552" w:rsidRDefault="003F37AB" w:rsidP="0020026E">
      <w:pPr>
        <w:shd w:val="clear" w:color="auto" w:fill="FFFFFF"/>
        <w:ind w:firstLine="540"/>
        <w:jc w:val="both"/>
        <w:rPr>
          <w:sz w:val="24"/>
          <w:szCs w:val="24"/>
        </w:rPr>
      </w:pP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w:t>
            </w:r>
            <w:proofErr w:type="spellStart"/>
            <w:r w:rsidRPr="000F2552">
              <w:rPr>
                <w:sz w:val="24"/>
                <w:szCs w:val="24"/>
              </w:rPr>
              <w:t>р</w:t>
            </w:r>
            <w:proofErr w:type="spellEnd"/>
            <w:r w:rsidRPr="000F2552">
              <w:rPr>
                <w:sz w:val="24"/>
                <w:szCs w:val="24"/>
              </w:rPr>
              <w:t xml:space="preserve">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Pr="000F2552" w:rsidRDefault="003F37AB" w:rsidP="003C3C23">
            <w:pPr>
              <w:jc w:val="both"/>
              <w:rPr>
                <w:sz w:val="24"/>
                <w:szCs w:val="24"/>
              </w:rPr>
            </w:pPr>
            <w:r w:rsidRPr="000F2552">
              <w:rPr>
                <w:sz w:val="24"/>
                <w:szCs w:val="24"/>
              </w:rPr>
              <w:t>тел. (0382) 76 24 31</w:t>
            </w:r>
          </w:p>
          <w:p w14:paraId="461C21F4" w14:textId="77777777" w:rsidR="003F37AB" w:rsidRPr="000F2552" w:rsidRDefault="003F37AB" w:rsidP="003C3C23">
            <w:pPr>
              <w:jc w:val="both"/>
              <w:rPr>
                <w:sz w:val="24"/>
                <w:szCs w:val="24"/>
              </w:rPr>
            </w:pPr>
          </w:p>
          <w:p w14:paraId="404F6801" w14:textId="77777777" w:rsidR="003F37AB" w:rsidRPr="000F2552" w:rsidRDefault="003F37AB" w:rsidP="003C3C23">
            <w:pPr>
              <w:jc w:val="both"/>
              <w:rPr>
                <w:sz w:val="24"/>
                <w:szCs w:val="24"/>
              </w:rPr>
            </w:pPr>
          </w:p>
          <w:p w14:paraId="4155CA73" w14:textId="77777777" w:rsidR="003F37AB" w:rsidRPr="000F2552" w:rsidRDefault="003F37AB" w:rsidP="003C3C23">
            <w:pPr>
              <w:jc w:val="both"/>
              <w:rPr>
                <w:sz w:val="24"/>
                <w:szCs w:val="24"/>
              </w:rPr>
            </w:pPr>
          </w:p>
          <w:p w14:paraId="134480B0" w14:textId="77777777" w:rsidR="003F37AB" w:rsidRPr="000F2552" w:rsidRDefault="003F37AB"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77102AB2" w14:textId="77777777" w:rsidR="003F37AB" w:rsidRPr="000F2552" w:rsidRDefault="003F37AB" w:rsidP="003C3C23">
            <w:pPr>
              <w:jc w:val="both"/>
              <w:rPr>
                <w:sz w:val="16"/>
                <w:szCs w:val="16"/>
              </w:rPr>
            </w:pPr>
            <w:r w:rsidRPr="000F2552">
              <w:rPr>
                <w:sz w:val="16"/>
                <w:szCs w:val="16"/>
              </w:rPr>
              <w:t>М.П.</w:t>
            </w:r>
          </w:p>
          <w:p w14:paraId="4242EA39" w14:textId="77777777" w:rsidR="003F37AB" w:rsidRPr="000F2552" w:rsidRDefault="003F37AB" w:rsidP="003C3C23">
            <w:pPr>
              <w:pStyle w:val="af"/>
              <w:rPr>
                <w:sz w:val="24"/>
                <w:szCs w:val="24"/>
              </w:rPr>
            </w:pP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A7C61F6" w14:textId="77777777" w:rsidR="003F37AB" w:rsidRPr="00B32C10" w:rsidRDefault="003F37AB" w:rsidP="0020026E">
      <w:pPr>
        <w:jc w:val="both"/>
        <w:rPr>
          <w:b/>
          <w:bCs/>
          <w:color w:val="FF00FF"/>
          <w:sz w:val="24"/>
          <w:szCs w:val="24"/>
        </w:rPr>
      </w:pPr>
    </w:p>
    <w:p w14:paraId="70C70AD5" w14:textId="77777777" w:rsidR="003F37AB" w:rsidRPr="00B32C10" w:rsidRDefault="003F37AB" w:rsidP="0020026E">
      <w:pPr>
        <w:tabs>
          <w:tab w:val="left" w:pos="6660"/>
        </w:tabs>
        <w:ind w:right="-25"/>
        <w:rPr>
          <w:color w:val="FF00FF"/>
        </w:rPr>
      </w:pPr>
    </w:p>
    <w:p w14:paraId="1EF77FDF" w14:textId="77777777" w:rsidR="003F37AB" w:rsidRPr="00B32C10" w:rsidRDefault="003F37AB" w:rsidP="0020026E">
      <w:pPr>
        <w:tabs>
          <w:tab w:val="left" w:pos="6660"/>
        </w:tabs>
        <w:ind w:right="-25"/>
        <w:rPr>
          <w:color w:val="FF00FF"/>
        </w:rPr>
      </w:pPr>
    </w:p>
    <w:p w14:paraId="17F15678" w14:textId="77777777" w:rsidR="003F37AB" w:rsidRPr="00B32C10" w:rsidRDefault="003F37AB" w:rsidP="0020026E">
      <w:pPr>
        <w:tabs>
          <w:tab w:val="left" w:pos="6480"/>
        </w:tabs>
        <w:ind w:left="1416" w:firstLine="708"/>
        <w:jc w:val="right"/>
        <w:rPr>
          <w:b/>
          <w:bCs/>
          <w:color w:val="FF00FF"/>
          <w:sz w:val="24"/>
          <w:szCs w:val="24"/>
        </w:rPr>
      </w:pPr>
    </w:p>
    <w:p w14:paraId="208F05DF" w14:textId="77777777" w:rsidR="003F37AB" w:rsidRPr="00B32C10" w:rsidRDefault="003F37AB" w:rsidP="0020026E">
      <w:pPr>
        <w:tabs>
          <w:tab w:val="left" w:pos="6480"/>
        </w:tabs>
        <w:ind w:left="1416" w:firstLine="708"/>
        <w:jc w:val="right"/>
        <w:rPr>
          <w:b/>
          <w:bCs/>
          <w:color w:val="FF00FF"/>
          <w:sz w:val="24"/>
          <w:szCs w:val="24"/>
        </w:rPr>
      </w:pPr>
    </w:p>
    <w:p w14:paraId="29E11268" w14:textId="77777777" w:rsidR="003F37AB" w:rsidRPr="00B32C10" w:rsidRDefault="003F37AB" w:rsidP="0020026E">
      <w:pPr>
        <w:tabs>
          <w:tab w:val="left" w:pos="6480"/>
        </w:tabs>
        <w:ind w:left="1416" w:firstLine="708"/>
        <w:jc w:val="right"/>
        <w:rPr>
          <w:b/>
          <w:bCs/>
          <w:color w:val="FF00FF"/>
          <w:sz w:val="24"/>
          <w:szCs w:val="24"/>
        </w:rPr>
      </w:pPr>
    </w:p>
    <w:p w14:paraId="3A8BE3D1" w14:textId="77777777" w:rsidR="003F37AB" w:rsidRPr="00B32C10" w:rsidRDefault="003F37AB" w:rsidP="0020026E">
      <w:pPr>
        <w:tabs>
          <w:tab w:val="left" w:pos="6480"/>
        </w:tabs>
        <w:ind w:left="1416" w:firstLine="708"/>
        <w:jc w:val="right"/>
        <w:rPr>
          <w:b/>
          <w:bCs/>
          <w:color w:val="FF00FF"/>
          <w:sz w:val="24"/>
          <w:szCs w:val="24"/>
        </w:rPr>
      </w:pPr>
    </w:p>
    <w:p w14:paraId="4D2227D3" w14:textId="77777777" w:rsidR="003F37AB" w:rsidRPr="000F2552" w:rsidRDefault="003F37AB" w:rsidP="0020026E">
      <w:pPr>
        <w:jc w:val="right"/>
        <w:rPr>
          <w:sz w:val="24"/>
          <w:szCs w:val="24"/>
        </w:rPr>
      </w:pPr>
      <w:r w:rsidRPr="000F2552">
        <w:rPr>
          <w:sz w:val="24"/>
          <w:szCs w:val="24"/>
        </w:rPr>
        <w:tab/>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2B819078" w:rsidR="003F37AB" w:rsidRPr="000F2552" w:rsidRDefault="003F37AB" w:rsidP="0020026E">
      <w:pPr>
        <w:jc w:val="right"/>
        <w:rPr>
          <w:sz w:val="24"/>
          <w:szCs w:val="24"/>
        </w:rPr>
      </w:pPr>
      <w:r w:rsidRPr="000F2552">
        <w:rPr>
          <w:sz w:val="24"/>
          <w:szCs w:val="24"/>
        </w:rPr>
        <w:t>від _____________202</w:t>
      </w:r>
      <w:r w:rsidR="00897DC4">
        <w:rPr>
          <w:sz w:val="24"/>
          <w:szCs w:val="24"/>
        </w:rPr>
        <w:t>2</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5017A1">
      <w:headerReference w:type="default" r:id="rId8"/>
      <w:pgSz w:w="11906" w:h="16838" w:code="9"/>
      <w:pgMar w:top="568" w:right="567" w:bottom="1134"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4B96" w14:textId="77777777" w:rsidR="003B18FD" w:rsidRDefault="003B18FD">
      <w:r>
        <w:separator/>
      </w:r>
    </w:p>
  </w:endnote>
  <w:endnote w:type="continuationSeparator" w:id="0">
    <w:p w14:paraId="2BFF6FDD" w14:textId="77777777" w:rsidR="003B18FD" w:rsidRDefault="003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3643" w14:textId="77777777" w:rsidR="003B18FD" w:rsidRDefault="003B18FD">
      <w:r>
        <w:separator/>
      </w:r>
    </w:p>
  </w:footnote>
  <w:footnote w:type="continuationSeparator" w:id="0">
    <w:p w14:paraId="21DBE2EF" w14:textId="77777777" w:rsidR="003B18FD" w:rsidRDefault="003B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8A771F">
      <w:rPr>
        <w:noProof/>
        <w:lang w:val="ru-RU"/>
      </w:rPr>
      <w:t>6</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643E"/>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10916</Words>
  <Characters>6223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2</cp:revision>
  <cp:lastPrinted>2020-05-27T11:56:00Z</cp:lastPrinted>
  <dcterms:created xsi:type="dcterms:W3CDTF">2022-11-08T11:02:00Z</dcterms:created>
  <dcterms:modified xsi:type="dcterms:W3CDTF">2022-11-08T11:02:00Z</dcterms:modified>
</cp:coreProperties>
</file>