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7F" w:rsidRPr="0007047F" w:rsidRDefault="0007047F" w:rsidP="0007047F">
      <w:pPr>
        <w:shd w:val="clear" w:color="auto" w:fill="FFFFFF" w:themeFill="background1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704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Додаток </w:t>
      </w:r>
      <w:r w:rsidRPr="00C8527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</w:p>
    <w:p w:rsidR="0007047F" w:rsidRPr="0007047F" w:rsidRDefault="0007047F" w:rsidP="0007047F">
      <w:pPr>
        <w:shd w:val="clear" w:color="auto" w:fill="FFFFFF" w:themeFill="background1"/>
        <w:spacing w:after="0" w:line="240" w:lineRule="auto"/>
        <w:jc w:val="right"/>
        <w:rPr>
          <w:rFonts w:ascii="Times New Roman" w:eastAsia="Arial" w:hAnsi="Times New Roman" w:cs="Times New Roman"/>
          <w:sz w:val="24"/>
          <w:szCs w:val="24"/>
          <w:lang w:val="uk-UA" w:eastAsia="ru-RU"/>
        </w:rPr>
      </w:pPr>
      <w:r w:rsidRPr="0007047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тендерної документації</w:t>
      </w:r>
    </w:p>
    <w:p w:rsidR="002C1003" w:rsidRPr="00C8527F" w:rsidRDefault="002C1003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922E6" w:rsidRPr="00C8527F" w:rsidRDefault="002C1003" w:rsidP="00692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Інформація</w:t>
      </w:r>
    </w:p>
    <w:p w:rsidR="002C1003" w:rsidRPr="00C8527F" w:rsidRDefault="002C1003" w:rsidP="006922E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технічн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, якіс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ні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, кількісн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та інш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вимог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>и</w:t>
      </w:r>
      <w:r w:rsidRPr="00C8527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предмета закупівлі,</w:t>
      </w:r>
    </w:p>
    <w:p w:rsidR="002C1003" w:rsidRPr="00C8527F" w:rsidRDefault="002C1003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C1003" w:rsidRPr="00C8527F" w:rsidRDefault="002C1003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E46037" w:rsidRPr="00C8527F" w:rsidRDefault="002C1003" w:rsidP="002C100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Котел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твердопаливн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ий (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Радіатори і котли для систем центрального опалення та їх деталі -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код 44620000-2 згідно ДК 021:2015 “Єдиний закупівельний словник”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) </w:t>
      </w:r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призначений для </w:t>
      </w:r>
      <w:proofErr w:type="spellStart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теплоподачі</w:t>
      </w:r>
      <w:proofErr w:type="spellEnd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подачі гарячої води в житлові, виробничі, громадські та адміністративні будівлі, а також об’єктів різного призначення що будуються в якості тимчасового або постійного джерела </w:t>
      </w:r>
      <w:proofErr w:type="spellStart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теплоподачі</w:t>
      </w:r>
      <w:proofErr w:type="spellEnd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Для подачі гарячої води на об’єкт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використовуються</w:t>
      </w:r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теплообмінники нагріву гарячої води. В якості </w:t>
      </w:r>
      <w:proofErr w:type="spellStart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гріючого</w:t>
      </w:r>
      <w:proofErr w:type="spellEnd"/>
      <w:r w:rsidR="000E60F4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теплоносія в теплообміннику використовується циркуляційна вода системи опалення.</w:t>
      </w:r>
    </w:p>
    <w:p w:rsidR="000E60F4" w:rsidRPr="00C8527F" w:rsidRDefault="000E60F4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8527F">
        <w:rPr>
          <w:rFonts w:ascii="Times New Roman" w:hAnsi="Times New Roman" w:cs="Times New Roman"/>
          <w:sz w:val="24"/>
          <w:szCs w:val="24"/>
          <w:lang w:val="uk-UA"/>
        </w:rPr>
        <w:t>Робота котла передбачена в автономному режимі без потреби в постійній присутності обслуговуючого персоналу.</w:t>
      </w:r>
    </w:p>
    <w:p w:rsidR="00FB70E7" w:rsidRPr="00C8527F" w:rsidRDefault="00FB70E7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E60F4" w:rsidRPr="00C8527F" w:rsidRDefault="000E60F4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Котел твердопаливний універсальний потужністю 500 кВт., що складається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136"/>
        <w:gridCol w:w="2588"/>
        <w:gridCol w:w="1878"/>
        <w:gridCol w:w="1039"/>
      </w:tblGrid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  <w:tc>
          <w:tcPr>
            <w:tcW w:w="3136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Топка з пальником 500квт 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КОТК 500кВт</w:t>
            </w:r>
          </w:p>
        </w:tc>
        <w:tc>
          <w:tcPr>
            <w:tcW w:w="187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2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Економайзер 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Е500</w:t>
            </w:r>
          </w:p>
        </w:tc>
        <w:tc>
          <w:tcPr>
            <w:tcW w:w="187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Вентилятор-димосос 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ВР-№5</w:t>
            </w:r>
          </w:p>
        </w:tc>
        <w:tc>
          <w:tcPr>
            <w:tcW w:w="187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5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Вентилятор </w:t>
            </w:r>
            <w:proofErr w:type="spellStart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надуву</w:t>
            </w:r>
            <w:proofErr w:type="spellEnd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повітря 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ВР-№2</w:t>
            </w:r>
          </w:p>
        </w:tc>
        <w:tc>
          <w:tcPr>
            <w:tcW w:w="187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6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Щит управління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7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Комплект для автоматичної подачі палива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КАП</w:t>
            </w:r>
          </w:p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(бункер накопичувач, шнек подачі палива, мотор/редуктор, датчики рівня, інше)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8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Димохідна труба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9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Стійка площадка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2500 мм * 3500 мм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</w:tcPr>
          <w:p w:rsidR="000E60F4" w:rsidRPr="00C8527F" w:rsidRDefault="000E60F4" w:rsidP="000E60F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C8527F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10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95pt"/>
                <w:rFonts w:ascii="Times New Roman" w:hAnsi="Times New Roman" w:cs="Times New Roman"/>
                <w:sz w:val="24"/>
                <w:szCs w:val="24"/>
              </w:rPr>
              <w:t>Трубопроводи а</w:t>
            </w: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рматурою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Система електроживлення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Контрольно-вимірювальні</w:t>
            </w:r>
          </w:p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прилади</w:t>
            </w:r>
          </w:p>
        </w:tc>
        <w:tc>
          <w:tcPr>
            <w:tcW w:w="2588" w:type="dxa"/>
          </w:tcPr>
          <w:p w:rsidR="000E60F4" w:rsidRPr="00C8527F" w:rsidRDefault="000E60F4" w:rsidP="00154E7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Експлуатаційна</w:t>
            </w:r>
          </w:p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документація</w:t>
            </w:r>
          </w:p>
        </w:tc>
        <w:tc>
          <w:tcPr>
            <w:tcW w:w="2588" w:type="dxa"/>
          </w:tcPr>
          <w:p w:rsidR="000E60F4" w:rsidRPr="00C8527F" w:rsidRDefault="000E60F4" w:rsidP="00154E7B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СЕРТИФІКАТ ВІДПОВІДНОСТІ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Манометри </w:t>
            </w:r>
            <w:proofErr w:type="spellStart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сповіщуючі</w:t>
            </w:r>
            <w:proofErr w:type="spellEnd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 ДМ Ст05. Паспорт.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АКТ 05.890.003 ПС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Термометр біметалевий ТБ. Паспорт.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АКГ.2.822.204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 xml:space="preserve">Манометр ДМ 05-МП-ЗУ. </w:t>
            </w:r>
            <w:proofErr w:type="spellStart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Паспорn</w:t>
            </w:r>
            <w:proofErr w:type="spellEnd"/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ДМ 05-МП-ЗУ</w:t>
            </w:r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E60F4" w:rsidRPr="00C8527F" w:rsidTr="000E60F4">
        <w:tc>
          <w:tcPr>
            <w:tcW w:w="704" w:type="dxa"/>
            <w:vAlign w:val="center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ind w:right="200"/>
              <w:jc w:val="both"/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LucidaSansUnicode85pt-1pt"/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36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Станції насосні побутові серії АUQB, АUTPS Інструкція по експлуатації.</w:t>
            </w:r>
          </w:p>
        </w:tc>
        <w:tc>
          <w:tcPr>
            <w:tcW w:w="2588" w:type="dxa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Sprut</w:t>
            </w:r>
            <w:proofErr w:type="spellEnd"/>
          </w:p>
        </w:tc>
        <w:tc>
          <w:tcPr>
            <w:tcW w:w="18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039" w:type="dxa"/>
            <w:tcBorders>
              <w:top w:val="single" w:sz="4" w:space="0" w:color="auto"/>
            </w:tcBorders>
            <w:shd w:val="clear" w:color="auto" w:fill="FFFFFF"/>
          </w:tcPr>
          <w:p w:rsidR="000E60F4" w:rsidRPr="00C8527F" w:rsidRDefault="000E60F4" w:rsidP="000E60F4">
            <w:pPr>
              <w:pStyle w:val="20"/>
              <w:shd w:val="clear" w:color="auto" w:fill="auto"/>
              <w:spacing w:after="0" w:line="240" w:lineRule="auto"/>
              <w:jc w:val="both"/>
              <w:rPr>
                <w:rStyle w:val="28pt"/>
                <w:rFonts w:ascii="Times New Roman" w:hAnsi="Times New Roman" w:cs="Times New Roman"/>
                <w:sz w:val="24"/>
                <w:szCs w:val="24"/>
              </w:rPr>
            </w:pPr>
            <w:r w:rsidRPr="00C8527F">
              <w:rPr>
                <w:rStyle w:val="28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922E6" w:rsidRPr="00C8527F" w:rsidRDefault="006922E6" w:rsidP="000E60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Строк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поставки: до 2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5 грудня 2022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р. </w:t>
      </w: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Місце поставки </w:t>
      </w:r>
      <w:r w:rsidR="00FB70E7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/ безпосередньої експлуатації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: </w:t>
      </w: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Хмельницька область, Шепетівський район, село Велика </w:t>
      </w:r>
      <w:proofErr w:type="spellStart"/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Медведівка</w:t>
      </w:r>
      <w:proofErr w:type="spellEnd"/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, вулиця Андрія Молодики, 6 (1 </w:t>
      </w:r>
      <w:r w:rsidR="00AE0393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комплект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).</w:t>
      </w: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lastRenderedPageBreak/>
        <w:t>Хмельницька область, Шепетівський район, село Поляна, вулиця Шкільна, 16 (1</w:t>
      </w:r>
      <w:r w:rsidR="00AE0393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E0393" w:rsidRPr="00C8527F">
        <w:rPr>
          <w:rFonts w:ascii="Times New Roman" w:hAnsi="Times New Roman"/>
          <w:lang w:val="uk-UA"/>
        </w:rPr>
        <w:t>комплект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).   </w:t>
      </w: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4E3961" w:rsidRPr="00C8527F" w:rsidRDefault="004E3961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Учасник</w:t>
      </w:r>
      <w:r w:rsidR="00A37C22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(Постачальник)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визначає ціну твердопаливних котлів, які він пропонує поставити Замовнику, з урахуванням усіх своїх витрат, податків і зборів, що сплачуються або мають бути сплачені. </w:t>
      </w:r>
    </w:p>
    <w:p w:rsidR="004E3961" w:rsidRPr="00C8527F" w:rsidRDefault="004E3961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В ціні тендерної пропозиції Учасник передбачає: постачання товару в приміщення Замовника (місце безпосередньої експлуатації), а саме: демонтаж встановлених раніше котлів, поставка нових твердопаливних котлів,  їх завантаження, доставка, розвантаження, монтаж та пусконалагодження. </w:t>
      </w:r>
    </w:p>
    <w:p w:rsidR="004E3961" w:rsidRPr="00C8527F" w:rsidRDefault="00154E7B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</w:t>
      </w:r>
      <w:r w:rsidR="004E3961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оставка товару здійснюється виключно за рахунок Учасника</w:t>
      </w:r>
      <w:r w:rsidR="00A37C22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A37C22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(Постачальник</w:t>
      </w:r>
      <w:r w:rsidR="00A37C22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а</w:t>
      </w:r>
      <w:r w:rsidR="00A37C22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  <w:r w:rsidR="004E3961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</w:t>
      </w:r>
      <w:r w:rsidR="004E3961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цінова пропозиція надається з урахуванням вартості доставки товару до місц</w:t>
      </w:r>
      <w:r w:rsidR="00FB70E7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ь</w:t>
      </w:r>
      <w:r w:rsidR="004E3961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безпосередньої експлуатації.</w:t>
      </w:r>
    </w:p>
    <w:p w:rsidR="004E3961" w:rsidRPr="00C8527F" w:rsidRDefault="00A37C22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Демонтаж встановлених раніше котлів, </w:t>
      </w:r>
      <w:r w:rsidR="00154E7B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поставка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нових твердопаливних котлів,  їх завантаження, доставка, розвантаження, монтаж та пусконалагодження за місцем їх безпосередньої експлуатації Учасник (Постачальник) проводить за свої кошти та власними силами.</w:t>
      </w:r>
    </w:p>
    <w:p w:rsidR="00A37C22" w:rsidRPr="00C8527F" w:rsidRDefault="00A37C22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До розрахунку вартості пропозиції не включаються витрати, пов'язані з підготовкою та поданням пропозиції, понесені Учасником у процесі здійснення процедури та укладення договору про закупівлю, такі витрати сплачуються ним за рахунок його власних коштів та не відшкодовуються Замовником. </w:t>
      </w:r>
    </w:p>
    <w:p w:rsidR="00A37C22" w:rsidRPr="00C8527F" w:rsidRDefault="00A37C22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A37C22" w:rsidRPr="00C8527F" w:rsidRDefault="00A37C22" w:rsidP="00A3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Якість товару повинна відповідати діючим державним стандартам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/ технічним умовам</w:t>
      </w:r>
      <w:r w:rsidR="00154E7B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виробника, та узгоджуватись із технічним завданням Замовника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C8527F" w:rsidRPr="00C8527F" w:rsidRDefault="00C8527F" w:rsidP="00A3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53421" w:rsidRPr="00C8527F" w:rsidRDefault="00A37C22" w:rsidP="00A3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Товар повинен бути</w:t>
      </w:r>
      <w:r w:rsidR="00FB70E7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новий 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</w:t>
      </w:r>
      <w:r w:rsidR="00653421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упаковці, що забезпечує його збері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гання під час транспортування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  <w:r w:rsidR="00653421" w:rsidRPr="00C8527F">
        <w:rPr>
          <w:lang w:val="uk-UA"/>
        </w:rPr>
        <w:t xml:space="preserve"> </w:t>
      </w:r>
    </w:p>
    <w:p w:rsidR="00A37C22" w:rsidRPr="00C8527F" w:rsidRDefault="00A37C22" w:rsidP="00A3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Учасник (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Постачальник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відповідає за належну якість Товару, а також зобов'язаний засвідчити його якість 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відповідними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документами. </w:t>
      </w:r>
    </w:p>
    <w:p w:rsidR="00A37C22" w:rsidRPr="00C8527F" w:rsidRDefault="00A37C22" w:rsidP="00C85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Гарантійний термін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складає: не менше 36 календарних місяців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моменту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прийняття Замовником робіт з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монтажу та пусконалагодження, зафіксованого відповідним актом.</w:t>
      </w:r>
    </w:p>
    <w:p w:rsidR="00A37C22" w:rsidRPr="00C8527F" w:rsidRDefault="00A37C22" w:rsidP="00C8527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Учасник (Постачальник) протягом строку гарантійного обслуговування, гарантує 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нормальну роботу (застосування,  використання)  товару,  в тому числі комплекту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ючих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, протягом гарантійного терміну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6922E6" w:rsidRPr="00C8527F" w:rsidRDefault="00A37C22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Учасник (</w:t>
      </w:r>
      <w:r w:rsidR="006922E6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Постачальник</w:t>
      </w: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)</w:t>
      </w:r>
      <w:r w:rsidR="006922E6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несе всі ризики щодо втрати чи пошкодження Товару до фактичної передачі його Замовнику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з урахуванням встановлених вище вимог щодо 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монтаж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у</w:t>
      </w:r>
      <w:r w:rsidR="00C8527F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 та пусконалагодження</w:t>
      </w:r>
      <w:r w:rsidR="006922E6"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.</w:t>
      </w:r>
    </w:p>
    <w:p w:rsidR="00A37C22" w:rsidRPr="00C8527F" w:rsidRDefault="00A37C22" w:rsidP="00A37C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При виявленні недоліків (дефектів) товару, в тому числі протягом гарантійного строку, Учасник зобов’язується усунути недоліки (дефекти) товару або замінити неякісний товар товаром належної якості за свій рахунок протягом 3 днів з моменту отримання письмового повідомлення Замовника про виявлені недоліки (дефекти), про що складається дефектний акт.</w:t>
      </w:r>
    </w:p>
    <w:p w:rsidR="006922E6" w:rsidRPr="00C8527F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</w:p>
    <w:p w:rsidR="00A37C22" w:rsidRPr="00407909" w:rsidRDefault="00A37C22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922E6" w:rsidRPr="00407909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40790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Монтаж необхідно виконувати з суворим дотриманням вимог з те</w:t>
      </w:r>
      <w:r w:rsidR="0040790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хніки безпеки, пожежної безпеки та інших вимог</w:t>
      </w:r>
      <w:r w:rsidRPr="0040790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 xml:space="preserve">. Допуск до виконання робіт проводяться відповідно до діючих інструкцій та вказівок. Монтаж  проводиться з додержанням вимог ДБН А.3.1-5:2016. </w:t>
      </w:r>
    </w:p>
    <w:p w:rsidR="006922E6" w:rsidRPr="00407909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  <w:r w:rsidRPr="00407909"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  <w:t>До початку проведення робіт Виконавець зобов`язаний виконати підготовчі роботи по захисту приміщень Замовника від запилювання, забруднення, протікання та інших пошкоджень, пов`язаних з виконанням робіт (при необхідності).</w:t>
      </w:r>
    </w:p>
    <w:p w:rsidR="006922E6" w:rsidRDefault="006922E6" w:rsidP="006922E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 w:eastAsia="uk-UA" w:bidi="uk-UA"/>
        </w:rPr>
      </w:pPr>
    </w:p>
    <w:p w:rsidR="006922E6" w:rsidRPr="00C8527F" w:rsidRDefault="006922E6" w:rsidP="006922E6">
      <w:pPr>
        <w:shd w:val="clear" w:color="auto" w:fill="FFFFFF" w:themeFill="background1"/>
        <w:jc w:val="both"/>
        <w:rPr>
          <w:rFonts w:ascii="Times New Roman" w:eastAsia="Times New Roman" w:hAnsi="Times New Roman" w:cs="Times New Roman"/>
          <w:i/>
          <w:sz w:val="20"/>
          <w:szCs w:val="20"/>
          <w:lang w:val="uk-UA"/>
        </w:rPr>
      </w:pP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*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Якщо у цьому додатку 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містяться посилання на стандартні характеристики, технічні регламенти та умови, вимоги, умовні позначення та термінологію, пов’язані з товарами, роботами чи послугами, що закуповуються, передбачені існуючими міжнародними, європейськими стандартами, іншими спільними технічними європейськими нормами, іншими технічними еталонними системами, визнаними європейськими органами зі стандартизації або національними стандартами, нормами та правилами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, </w:t>
      </w:r>
      <w:r w:rsidR="0040790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то такі вживаються в значенні, наведених у них.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</w:t>
      </w:r>
    </w:p>
    <w:p w:rsidR="006922E6" w:rsidRPr="00C8527F" w:rsidRDefault="006922E6" w:rsidP="0007047F">
      <w:pPr>
        <w:shd w:val="clear" w:color="auto" w:fill="FFFFFF" w:themeFill="background1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Якщо 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цей додаток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містить посилання на конкретні марку чи виробника або на конкретний процес, що характеризує </w:t>
      </w:r>
      <w:r w:rsidR="0040790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товар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 чи послугу певного суб’єкта господарювання, чи на торгові марки, патенти, типи або конкретне місце походження чи спосіб виробництва, таке посиланн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я є необхідним та обґрунтованим, </w:t>
      </w:r>
      <w:r w:rsidR="00407909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 xml:space="preserve">то </w:t>
      </w:r>
      <w:bookmarkStart w:id="0" w:name="_GoBack"/>
      <w:bookmarkEnd w:id="0"/>
      <w:r w:rsidRPr="00C8527F">
        <w:rPr>
          <w:rFonts w:ascii="Times New Roman" w:eastAsia="Times New Roman" w:hAnsi="Times New Roman" w:cs="Times New Roman"/>
          <w:i/>
          <w:sz w:val="20"/>
          <w:szCs w:val="20"/>
          <w:lang w:val="uk-UA"/>
        </w:rPr>
        <w:t>п</w:t>
      </w:r>
      <w:r w:rsidRPr="00C8527F">
        <w:rPr>
          <w:rFonts w:ascii="Times New Roman" w:eastAsia="Times New Roman" w:hAnsi="Times New Roman" w:cs="Times New Roman"/>
          <w:i/>
          <w:sz w:val="20"/>
          <w:szCs w:val="20"/>
          <w:u w:val="single"/>
          <w:lang w:val="uk-UA"/>
        </w:rPr>
        <w:t xml:space="preserve">ісля кожного такого посилання слід вважати наявний вираз «або еквівалент». </w:t>
      </w:r>
    </w:p>
    <w:sectPr w:rsidR="006922E6" w:rsidRPr="00C852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F4"/>
    <w:rsid w:val="0007047F"/>
    <w:rsid w:val="000E60F4"/>
    <w:rsid w:val="000F1507"/>
    <w:rsid w:val="00152B75"/>
    <w:rsid w:val="00154E7B"/>
    <w:rsid w:val="0016426D"/>
    <w:rsid w:val="002C1003"/>
    <w:rsid w:val="00407909"/>
    <w:rsid w:val="004367F7"/>
    <w:rsid w:val="004E3961"/>
    <w:rsid w:val="00653421"/>
    <w:rsid w:val="006922E6"/>
    <w:rsid w:val="00720D67"/>
    <w:rsid w:val="007B514D"/>
    <w:rsid w:val="008468E2"/>
    <w:rsid w:val="0089162C"/>
    <w:rsid w:val="008F7481"/>
    <w:rsid w:val="00981AA3"/>
    <w:rsid w:val="00A36573"/>
    <w:rsid w:val="00A37C22"/>
    <w:rsid w:val="00AA1AF9"/>
    <w:rsid w:val="00AE0393"/>
    <w:rsid w:val="00B04C71"/>
    <w:rsid w:val="00BC0B26"/>
    <w:rsid w:val="00C8527F"/>
    <w:rsid w:val="00D14331"/>
    <w:rsid w:val="00D336C5"/>
    <w:rsid w:val="00E72992"/>
    <w:rsid w:val="00F43416"/>
    <w:rsid w:val="00F72766"/>
    <w:rsid w:val="00FB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B3E24"/>
  <w15:chartTrackingRefBased/>
  <w15:docId w15:val="{FB243FDD-F8B1-4564-BC7D-6CF6E26BC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ий текст (2)_"/>
    <w:basedOn w:val="a0"/>
    <w:link w:val="20"/>
    <w:rsid w:val="000E60F4"/>
    <w:rPr>
      <w:rFonts w:ascii="Bookman Old Style" w:eastAsia="Bookman Old Style" w:hAnsi="Bookman Old Style" w:cs="Bookman Old Style"/>
      <w:sz w:val="21"/>
      <w:szCs w:val="21"/>
      <w:shd w:val="clear" w:color="auto" w:fill="FFFFFF"/>
    </w:rPr>
  </w:style>
  <w:style w:type="character" w:customStyle="1" w:styleId="28pt">
    <w:name w:val="Основний текст (2) + 8 pt"/>
    <w:basedOn w:val="2"/>
    <w:rsid w:val="000E60F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6"/>
      <w:szCs w:val="16"/>
      <w:shd w:val="clear" w:color="auto" w:fill="FFFFFF"/>
      <w:lang w:val="uk-UA" w:eastAsia="uk-UA" w:bidi="uk-UA"/>
    </w:rPr>
  </w:style>
  <w:style w:type="character" w:customStyle="1" w:styleId="2ComicSansMS4pt">
    <w:name w:val="Основний текст (2) + Comic Sans MS;4 pt"/>
    <w:basedOn w:val="2"/>
    <w:rsid w:val="000E60F4"/>
    <w:rPr>
      <w:rFonts w:ascii="Comic Sans MS" w:eastAsia="Comic Sans MS" w:hAnsi="Comic Sans MS" w:cs="Comic Sans MS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ComicSansMS4pt0">
    <w:name w:val="Основний текст (2) + Comic Sans MS;4 pt;Малі великі літери"/>
    <w:basedOn w:val="2"/>
    <w:rsid w:val="000E60F4"/>
    <w:rPr>
      <w:rFonts w:ascii="Comic Sans MS" w:eastAsia="Comic Sans MS" w:hAnsi="Comic Sans MS" w:cs="Comic Sans MS"/>
      <w:smallCaps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  <w:style w:type="character" w:customStyle="1" w:styleId="255pt0pt">
    <w:name w:val="Основний текст (2) + 5;5 pt;Напівжирний;Інтервал 0 pt"/>
    <w:basedOn w:val="2"/>
    <w:rsid w:val="000E60F4"/>
    <w:rPr>
      <w:rFonts w:ascii="Bookman Old Style" w:eastAsia="Bookman Old Style" w:hAnsi="Bookman Old Style" w:cs="Bookman Old Style"/>
      <w:b/>
      <w:bCs/>
      <w:color w:val="000000"/>
      <w:spacing w:val="10"/>
      <w:w w:val="100"/>
      <w:position w:val="0"/>
      <w:sz w:val="11"/>
      <w:szCs w:val="11"/>
      <w:shd w:val="clear" w:color="auto" w:fill="FFFFFF"/>
      <w:lang w:val="uk-UA" w:eastAsia="uk-UA" w:bidi="uk-UA"/>
    </w:rPr>
  </w:style>
  <w:style w:type="paragraph" w:customStyle="1" w:styleId="20">
    <w:name w:val="Основний текст (2)"/>
    <w:basedOn w:val="a"/>
    <w:link w:val="2"/>
    <w:rsid w:val="000E60F4"/>
    <w:pPr>
      <w:widowControl w:val="0"/>
      <w:shd w:val="clear" w:color="auto" w:fill="FFFFFF"/>
      <w:spacing w:after="120" w:line="323" w:lineRule="exact"/>
    </w:pPr>
    <w:rPr>
      <w:rFonts w:ascii="Bookman Old Style" w:eastAsia="Bookman Old Style" w:hAnsi="Bookman Old Style" w:cs="Bookman Old Style"/>
      <w:sz w:val="21"/>
      <w:szCs w:val="21"/>
    </w:rPr>
  </w:style>
  <w:style w:type="table" w:styleId="a3">
    <w:name w:val="Table Grid"/>
    <w:basedOn w:val="a1"/>
    <w:uiPriority w:val="39"/>
    <w:rsid w:val="000E6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95pt">
    <w:name w:val="Основний текст (2) + 9;5 pt"/>
    <w:basedOn w:val="2"/>
    <w:rsid w:val="000E60F4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19"/>
      <w:szCs w:val="19"/>
      <w:shd w:val="clear" w:color="auto" w:fill="FFFFFF"/>
      <w:lang w:val="uk-UA" w:eastAsia="uk-UA" w:bidi="uk-UA"/>
    </w:rPr>
  </w:style>
  <w:style w:type="character" w:customStyle="1" w:styleId="2Constantia">
    <w:name w:val="Основний текст (2) + Constantia"/>
    <w:basedOn w:val="2"/>
    <w:rsid w:val="000E60F4"/>
    <w:rPr>
      <w:rFonts w:ascii="Constantia" w:eastAsia="Constantia" w:hAnsi="Constantia" w:cs="Constantia"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2LucidaSansUnicode85pt-1pt">
    <w:name w:val="Основний текст (2) + Lucida Sans Unicode;8;5 pt;Інтервал -1 pt"/>
    <w:basedOn w:val="2"/>
    <w:rsid w:val="000E60F4"/>
    <w:rPr>
      <w:rFonts w:ascii="Lucida Sans Unicode" w:eastAsia="Lucida Sans Unicode" w:hAnsi="Lucida Sans Unicode" w:cs="Lucida Sans Unicode"/>
      <w:color w:val="000000"/>
      <w:spacing w:val="-20"/>
      <w:w w:val="100"/>
      <w:position w:val="0"/>
      <w:sz w:val="17"/>
      <w:szCs w:val="17"/>
      <w:shd w:val="clear" w:color="auto" w:fill="FFFFFF"/>
      <w:lang w:val="uk-UA" w:eastAsia="uk-UA" w:bidi="uk-UA"/>
    </w:rPr>
  </w:style>
  <w:style w:type="character" w:customStyle="1" w:styleId="2Impact4pt">
    <w:name w:val="Основний текст (2) + Impact;4 pt"/>
    <w:basedOn w:val="2"/>
    <w:rsid w:val="000E60F4"/>
    <w:rPr>
      <w:rFonts w:ascii="Impact" w:eastAsia="Impact" w:hAnsi="Impact" w:cs="Impact"/>
      <w:color w:val="000000"/>
      <w:spacing w:val="0"/>
      <w:w w:val="100"/>
      <w:position w:val="0"/>
      <w:sz w:val="8"/>
      <w:szCs w:val="8"/>
      <w:shd w:val="clear" w:color="auto" w:fill="FFFFFF"/>
      <w:lang w:val="uk-UA" w:eastAsia="uk-UA" w:bidi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95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CFC89-DDE2-4875-8571-76F9DC9E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</cp:revision>
  <dcterms:created xsi:type="dcterms:W3CDTF">2022-11-30T07:12:00Z</dcterms:created>
  <dcterms:modified xsi:type="dcterms:W3CDTF">2022-11-30T11:30:00Z</dcterms:modified>
</cp:coreProperties>
</file>