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AF49AE" w:rsidRDefault="003D2558" w:rsidP="003D2558">
      <w:pPr>
        <w:jc w:val="right"/>
        <w:rPr>
          <w:b/>
        </w:rPr>
      </w:pPr>
      <w:r w:rsidRPr="00AF49AE">
        <w:rPr>
          <w:b/>
        </w:rPr>
        <w:t>Додаток 1</w:t>
      </w:r>
    </w:p>
    <w:p w:rsidR="003D2558" w:rsidRPr="00AF49AE" w:rsidRDefault="003D2558" w:rsidP="003D2558">
      <w:pPr>
        <w:jc w:val="right"/>
        <w:rPr>
          <w:b/>
        </w:rPr>
      </w:pPr>
      <w:r w:rsidRPr="00AF49AE">
        <w:rPr>
          <w:b/>
        </w:rPr>
        <w:t xml:space="preserve">до протоколу </w:t>
      </w:r>
      <w:r w:rsidRPr="00874822">
        <w:rPr>
          <w:b/>
        </w:rPr>
        <w:t>№</w:t>
      </w:r>
      <w:r w:rsidR="00874822" w:rsidRPr="00874822">
        <w:rPr>
          <w:b/>
        </w:rPr>
        <w:t>174</w:t>
      </w:r>
      <w:r w:rsidRPr="00AF49AE">
        <w:rPr>
          <w:b/>
        </w:rPr>
        <w:t xml:space="preserve"> від </w:t>
      </w:r>
      <w:r w:rsidR="007400F2">
        <w:rPr>
          <w:b/>
        </w:rPr>
        <w:t>2</w:t>
      </w:r>
      <w:r w:rsidR="00E91417">
        <w:rPr>
          <w:b/>
        </w:rPr>
        <w:t>7</w:t>
      </w:r>
      <w:r w:rsidRPr="00AF49AE">
        <w:rPr>
          <w:b/>
        </w:rPr>
        <w:t>.</w:t>
      </w:r>
      <w:r w:rsidR="002F7E5F">
        <w:rPr>
          <w:b/>
        </w:rPr>
        <w:t>0</w:t>
      </w:r>
      <w:r w:rsidR="00E91417">
        <w:rPr>
          <w:b/>
        </w:rPr>
        <w:t>3</w:t>
      </w:r>
      <w:r w:rsidRPr="00AF49AE">
        <w:rPr>
          <w:b/>
        </w:rPr>
        <w:t>.202</w:t>
      </w:r>
      <w:r w:rsidR="002F7E5F">
        <w:rPr>
          <w:b/>
        </w:rPr>
        <w:t>3</w:t>
      </w:r>
      <w:r w:rsidRPr="00AF49AE">
        <w:rPr>
          <w:b/>
        </w:rPr>
        <w:t xml:space="preserve"> року</w:t>
      </w:r>
    </w:p>
    <w:p w:rsidR="008D3271" w:rsidRPr="00AF49AE" w:rsidRDefault="008D3271" w:rsidP="008D3271">
      <w:pPr>
        <w:jc w:val="center"/>
        <w:rPr>
          <w:b/>
          <w:sz w:val="36"/>
          <w:szCs w:val="36"/>
        </w:rPr>
      </w:pPr>
      <w:r w:rsidRPr="00AF49AE">
        <w:rPr>
          <w:b/>
          <w:sz w:val="36"/>
          <w:szCs w:val="36"/>
        </w:rPr>
        <w:t>Зміни внесені до тендерної документації</w:t>
      </w:r>
    </w:p>
    <w:p w:rsidR="008D3271" w:rsidRPr="00AF49AE" w:rsidRDefault="008D3271" w:rsidP="008D3271">
      <w:pPr>
        <w:jc w:val="center"/>
        <w:rPr>
          <w:b/>
          <w:sz w:val="28"/>
          <w:szCs w:val="28"/>
        </w:rPr>
      </w:pPr>
      <w:r w:rsidRPr="00AF49AE">
        <w:rPr>
          <w:b/>
          <w:sz w:val="28"/>
          <w:szCs w:val="28"/>
        </w:rPr>
        <w:t xml:space="preserve">щодо закупівлі </w:t>
      </w:r>
    </w:p>
    <w:p w:rsidR="00EE479C" w:rsidRPr="00AF49AE" w:rsidRDefault="00E91417" w:rsidP="00487F19">
      <w:pPr>
        <w:tabs>
          <w:tab w:val="left" w:pos="426"/>
        </w:tabs>
        <w:jc w:val="center"/>
        <w:rPr>
          <w:sz w:val="20"/>
          <w:szCs w:val="20"/>
        </w:rPr>
      </w:pPr>
      <w:r w:rsidRPr="00E82DD5">
        <w:rPr>
          <w:b/>
          <w:bCs/>
        </w:rPr>
        <w:t>«Фармацевтична продукція - код Основного словника національного класифікатора України ДК 021:2015 "Єдиний закупівельний словник"– 33600000-6 (Basiliximab; Amphotericin B; Electrolytes; Valganciclovir; Comb drug; Methylprednisolone; Meropenem; Methylprednisolone; Electrolytes; Mono; Anti-D (rh) immunoglobulin; Ceftriaxone)»</w:t>
      </w:r>
    </w:p>
    <w:p w:rsidR="008D3271" w:rsidRPr="00AF49AE" w:rsidRDefault="008D3271" w:rsidP="007311E9">
      <w:pPr>
        <w:widowControl w:val="0"/>
        <w:autoSpaceDE w:val="0"/>
        <w:spacing w:line="264" w:lineRule="auto"/>
        <w:ind w:right="100"/>
        <w:jc w:val="both"/>
        <w:rPr>
          <w:rFonts w:eastAsia="Calibri"/>
          <w:sz w:val="20"/>
          <w:szCs w:val="20"/>
          <w:lang w:eastAsia="en-US"/>
        </w:rPr>
      </w:pPr>
    </w:p>
    <w:p w:rsidR="008D3271" w:rsidRPr="00AF49AE" w:rsidRDefault="008D3271" w:rsidP="008D3271">
      <w:pPr>
        <w:shd w:val="clear" w:color="auto" w:fill="FFFFFF"/>
        <w:tabs>
          <w:tab w:val="left" w:pos="720"/>
        </w:tabs>
        <w:rPr>
          <w:b/>
          <w:bCs/>
          <w:spacing w:val="1"/>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946"/>
        <w:gridCol w:w="6946"/>
      </w:tblGrid>
      <w:tr w:rsidR="00AF49AE" w:rsidRPr="00AF49AE" w:rsidTr="00256FCF">
        <w:trPr>
          <w:trHeight w:val="20"/>
        </w:trPr>
        <w:tc>
          <w:tcPr>
            <w:tcW w:w="1985" w:type="dxa"/>
            <w:vAlign w:val="center"/>
          </w:tcPr>
          <w:p w:rsidR="007311E9" w:rsidRPr="00AF49AE" w:rsidRDefault="00CF6793" w:rsidP="00C9049B">
            <w:pPr>
              <w:ind w:left="-108" w:right="-108"/>
              <w:rPr>
                <w:b/>
                <w:i/>
              </w:rPr>
            </w:pPr>
            <w:r w:rsidRPr="00AF49AE">
              <w:rPr>
                <w:b/>
                <w:i/>
              </w:rPr>
              <w:t>Пункт ТД</w:t>
            </w:r>
          </w:p>
        </w:tc>
        <w:tc>
          <w:tcPr>
            <w:tcW w:w="6946" w:type="dxa"/>
            <w:shd w:val="clear" w:color="auto" w:fill="auto"/>
            <w:vAlign w:val="center"/>
          </w:tcPr>
          <w:p w:rsidR="007311E9" w:rsidRPr="00AF49AE" w:rsidRDefault="007311E9" w:rsidP="00E91417">
            <w:pPr>
              <w:jc w:val="center"/>
              <w:rPr>
                <w:b/>
              </w:rPr>
            </w:pPr>
            <w:r w:rsidRPr="00AF49AE">
              <w:rPr>
                <w:b/>
              </w:rPr>
              <w:t xml:space="preserve">Редакція від </w:t>
            </w:r>
            <w:r w:rsidR="00256FCF">
              <w:rPr>
                <w:b/>
              </w:rPr>
              <w:t>2</w:t>
            </w:r>
            <w:r w:rsidR="00E91417">
              <w:rPr>
                <w:b/>
              </w:rPr>
              <w:t>3</w:t>
            </w:r>
            <w:r w:rsidR="005E38E8" w:rsidRPr="00AF49AE">
              <w:rPr>
                <w:b/>
              </w:rPr>
              <w:t>.</w:t>
            </w:r>
            <w:r w:rsidR="002F7E5F">
              <w:rPr>
                <w:b/>
              </w:rPr>
              <w:t>0</w:t>
            </w:r>
            <w:r w:rsidR="00E91417">
              <w:rPr>
                <w:b/>
              </w:rPr>
              <w:t>3</w:t>
            </w:r>
            <w:r w:rsidR="005E38E8" w:rsidRPr="00AF49AE">
              <w:rPr>
                <w:b/>
              </w:rPr>
              <w:t>.</w:t>
            </w:r>
            <w:r w:rsidRPr="00AF49AE">
              <w:rPr>
                <w:b/>
              </w:rPr>
              <w:t>202</w:t>
            </w:r>
            <w:r w:rsidR="002F7E5F">
              <w:rPr>
                <w:b/>
              </w:rPr>
              <w:t>3</w:t>
            </w:r>
            <w:r w:rsidRPr="00AF49AE">
              <w:rPr>
                <w:b/>
              </w:rPr>
              <w:t xml:space="preserve"> року</w:t>
            </w:r>
          </w:p>
        </w:tc>
        <w:tc>
          <w:tcPr>
            <w:tcW w:w="6946" w:type="dxa"/>
          </w:tcPr>
          <w:p w:rsidR="007311E9" w:rsidRPr="00AF49AE" w:rsidRDefault="007311E9" w:rsidP="00E91417">
            <w:pPr>
              <w:jc w:val="center"/>
              <w:rPr>
                <w:b/>
              </w:rPr>
            </w:pPr>
            <w:r w:rsidRPr="00AF49AE">
              <w:rPr>
                <w:b/>
              </w:rPr>
              <w:t xml:space="preserve">Редакція від </w:t>
            </w:r>
            <w:r w:rsidR="00256FCF">
              <w:rPr>
                <w:b/>
              </w:rPr>
              <w:t>2</w:t>
            </w:r>
            <w:r w:rsidR="00E91417">
              <w:rPr>
                <w:b/>
              </w:rPr>
              <w:t>7</w:t>
            </w:r>
            <w:r w:rsidRPr="00AF49AE">
              <w:rPr>
                <w:b/>
              </w:rPr>
              <w:t>.</w:t>
            </w:r>
            <w:r w:rsidR="002F7E5F">
              <w:rPr>
                <w:b/>
              </w:rPr>
              <w:t>0</w:t>
            </w:r>
            <w:r w:rsidR="00E91417">
              <w:rPr>
                <w:b/>
              </w:rPr>
              <w:t>3</w:t>
            </w:r>
            <w:r w:rsidRPr="00AF49AE">
              <w:rPr>
                <w:b/>
              </w:rPr>
              <w:t>.202</w:t>
            </w:r>
            <w:r w:rsidR="002F7E5F">
              <w:rPr>
                <w:b/>
              </w:rPr>
              <w:t>3</w:t>
            </w:r>
            <w:r w:rsidRPr="00AF49AE">
              <w:rPr>
                <w:b/>
              </w:rPr>
              <w:t xml:space="preserve"> року</w:t>
            </w:r>
          </w:p>
        </w:tc>
      </w:tr>
      <w:tr w:rsidR="002F7E5F" w:rsidRPr="00AF49AE" w:rsidTr="00256FCF">
        <w:trPr>
          <w:trHeight w:val="20"/>
        </w:trPr>
        <w:tc>
          <w:tcPr>
            <w:tcW w:w="1985" w:type="dxa"/>
            <w:vAlign w:val="center"/>
          </w:tcPr>
          <w:p w:rsidR="002F7E5F" w:rsidRPr="00AF49AE" w:rsidRDefault="002F7E5F" w:rsidP="002F7E5F">
            <w:pPr>
              <w:rPr>
                <w:b/>
                <w:sz w:val="20"/>
                <w:szCs w:val="20"/>
              </w:rPr>
            </w:pPr>
            <w:r w:rsidRPr="00AF49AE">
              <w:rPr>
                <w:b/>
                <w:sz w:val="20"/>
                <w:szCs w:val="20"/>
              </w:rPr>
              <w:t>п. 4.</w:t>
            </w:r>
            <w:r>
              <w:rPr>
                <w:b/>
                <w:sz w:val="20"/>
                <w:szCs w:val="20"/>
              </w:rPr>
              <w:t>1.1. ч.1</w:t>
            </w:r>
            <w:r w:rsidRPr="00AF49AE">
              <w:rPr>
                <w:b/>
                <w:sz w:val="20"/>
                <w:szCs w:val="20"/>
              </w:rPr>
              <w:t xml:space="preserve"> (</w:t>
            </w:r>
            <w:r w:rsidRPr="002F7E5F">
              <w:rPr>
                <w:b/>
                <w:sz w:val="20"/>
                <w:szCs w:val="20"/>
              </w:rPr>
              <w:t>Кінцевий строк подання тендерної пропозиції</w:t>
            </w:r>
            <w:r w:rsidRPr="00AF49AE">
              <w:rPr>
                <w:b/>
                <w:sz w:val="20"/>
                <w:szCs w:val="20"/>
              </w:rPr>
              <w:t xml:space="preserve">) Розділу </w:t>
            </w:r>
            <w:r w:rsidRPr="002F7E5F">
              <w:rPr>
                <w:b/>
                <w:bCs/>
                <w:sz w:val="20"/>
                <w:szCs w:val="20"/>
              </w:rPr>
              <w:t>IV</w:t>
            </w:r>
            <w:r w:rsidRPr="00AF49AE">
              <w:rPr>
                <w:b/>
                <w:sz w:val="20"/>
                <w:szCs w:val="20"/>
              </w:rPr>
              <w:t xml:space="preserve"> (</w:t>
            </w:r>
            <w:r w:rsidRPr="002F7E5F">
              <w:rPr>
                <w:b/>
                <w:bCs/>
                <w:sz w:val="20"/>
                <w:szCs w:val="20"/>
              </w:rPr>
              <w:t>Подання та розкриття тендерних пропозицій</w:t>
            </w:r>
            <w:r w:rsidRPr="00AF49AE">
              <w:rPr>
                <w:b/>
                <w:sz w:val="20"/>
                <w:szCs w:val="20"/>
              </w:rPr>
              <w:t>)</w:t>
            </w:r>
          </w:p>
          <w:p w:rsidR="002F7E5F" w:rsidRPr="00AF49AE" w:rsidRDefault="002F7E5F" w:rsidP="003D2558">
            <w:pPr>
              <w:rPr>
                <w:b/>
                <w:sz w:val="20"/>
                <w:szCs w:val="20"/>
              </w:rPr>
            </w:pPr>
          </w:p>
        </w:tc>
        <w:tc>
          <w:tcPr>
            <w:tcW w:w="6946" w:type="dxa"/>
            <w:shd w:val="clear" w:color="auto" w:fill="auto"/>
            <w:vAlign w:val="center"/>
          </w:tcPr>
          <w:p w:rsidR="00256FCF" w:rsidRPr="00256FCF" w:rsidRDefault="00256FCF" w:rsidP="00256FCF">
            <w:pPr>
              <w:ind w:right="100"/>
              <w:contextualSpacing/>
              <w:rPr>
                <w:b/>
                <w:strike/>
                <w:lang w:eastAsia="zh-CN"/>
              </w:rPr>
            </w:pPr>
            <w:r w:rsidRPr="00256FCF">
              <w:rPr>
                <w:strike/>
                <w:lang w:eastAsia="zh-CN"/>
              </w:rPr>
              <w:t>4.1.1. Кінцевий строк подання тендерних пропозицій (не менше ніж сім днів):</w:t>
            </w:r>
            <w:r w:rsidRPr="00256FCF">
              <w:rPr>
                <w:b/>
                <w:strike/>
                <w:lang w:eastAsia="zh-CN"/>
              </w:rPr>
              <w:t xml:space="preserve"> </w:t>
            </w:r>
          </w:p>
          <w:p w:rsidR="00256FCF" w:rsidRPr="00256FCF" w:rsidRDefault="00256FCF" w:rsidP="00256FCF">
            <w:pPr>
              <w:ind w:right="100"/>
              <w:contextualSpacing/>
              <w:rPr>
                <w:b/>
                <w:strike/>
                <w:lang w:eastAsia="zh-CN"/>
              </w:rPr>
            </w:pPr>
            <w:r w:rsidRPr="00256FCF">
              <w:rPr>
                <w:b/>
                <w:strike/>
                <w:lang w:eastAsia="zh-CN"/>
              </w:rPr>
              <w:t>Дата - «</w:t>
            </w:r>
            <w:r w:rsidR="00E91417">
              <w:rPr>
                <w:b/>
                <w:strike/>
                <w:lang w:eastAsia="zh-CN"/>
              </w:rPr>
              <w:t>31</w:t>
            </w:r>
            <w:r w:rsidRPr="00256FCF">
              <w:rPr>
                <w:b/>
                <w:strike/>
                <w:lang w:eastAsia="zh-CN"/>
              </w:rPr>
              <w:t>» березня 2023 року</w:t>
            </w:r>
          </w:p>
          <w:p w:rsidR="00256FCF" w:rsidRPr="00256FCF" w:rsidRDefault="00256FCF" w:rsidP="00256FCF">
            <w:pPr>
              <w:ind w:right="100"/>
              <w:contextualSpacing/>
              <w:rPr>
                <w:b/>
                <w:strike/>
                <w:lang w:eastAsia="zh-CN"/>
              </w:rPr>
            </w:pPr>
            <w:r w:rsidRPr="00256FCF">
              <w:rPr>
                <w:b/>
                <w:strike/>
                <w:lang w:eastAsia="zh-CN"/>
              </w:rPr>
              <w:t>Час – до 18:00 год.</w:t>
            </w:r>
          </w:p>
          <w:p w:rsidR="002F7E5F" w:rsidRPr="002F7E5F" w:rsidRDefault="002F7E5F" w:rsidP="002F7E5F">
            <w:pPr>
              <w:ind w:right="100" w:hanging="21"/>
              <w:contextualSpacing/>
              <w:jc w:val="both"/>
              <w:rPr>
                <w:b/>
                <w:strike/>
              </w:rPr>
            </w:pPr>
          </w:p>
        </w:tc>
        <w:tc>
          <w:tcPr>
            <w:tcW w:w="6946" w:type="dxa"/>
            <w:vAlign w:val="center"/>
          </w:tcPr>
          <w:p w:rsidR="00256FCF" w:rsidRDefault="00256FCF" w:rsidP="00256FCF">
            <w:pPr>
              <w:ind w:right="100"/>
              <w:contextualSpacing/>
              <w:rPr>
                <w:lang w:eastAsia="zh-CN"/>
              </w:rPr>
            </w:pPr>
            <w:r>
              <w:rPr>
                <w:lang w:eastAsia="zh-CN"/>
              </w:rPr>
              <w:t>4.1.1. Кінцевий строк подання тендерних пропозицій (не менше ніж сім днів):</w:t>
            </w:r>
            <w:bookmarkStart w:id="0" w:name="_GoBack"/>
            <w:bookmarkEnd w:id="0"/>
            <w:r>
              <w:rPr>
                <w:lang w:eastAsia="zh-CN"/>
              </w:rPr>
              <w:t xml:space="preserve"> </w:t>
            </w:r>
          </w:p>
          <w:p w:rsidR="00256FCF" w:rsidRPr="00E91417" w:rsidRDefault="00256FCF" w:rsidP="00256FCF">
            <w:pPr>
              <w:ind w:right="100"/>
              <w:contextualSpacing/>
              <w:rPr>
                <w:b/>
                <w:lang w:eastAsia="zh-CN"/>
              </w:rPr>
            </w:pPr>
            <w:r w:rsidRPr="00E91417">
              <w:rPr>
                <w:b/>
                <w:lang w:eastAsia="zh-CN"/>
              </w:rPr>
              <w:t>Дата - «</w:t>
            </w:r>
            <w:r w:rsidR="00E91417" w:rsidRPr="00E91417">
              <w:rPr>
                <w:b/>
                <w:lang w:eastAsia="zh-CN"/>
              </w:rPr>
              <w:t>01</w:t>
            </w:r>
            <w:r w:rsidRPr="00E91417">
              <w:rPr>
                <w:b/>
                <w:lang w:eastAsia="zh-CN"/>
              </w:rPr>
              <w:t xml:space="preserve">» </w:t>
            </w:r>
            <w:r w:rsidR="00E91417" w:rsidRPr="00E91417">
              <w:rPr>
                <w:b/>
                <w:lang w:eastAsia="zh-CN"/>
              </w:rPr>
              <w:t>квіт</w:t>
            </w:r>
            <w:r w:rsidRPr="00E91417">
              <w:rPr>
                <w:b/>
                <w:lang w:eastAsia="zh-CN"/>
              </w:rPr>
              <w:t>ня 2023 року</w:t>
            </w:r>
          </w:p>
          <w:p w:rsidR="002F7E5F" w:rsidRPr="002F7E5F" w:rsidRDefault="00256FCF" w:rsidP="00256FCF">
            <w:pPr>
              <w:ind w:right="100" w:hanging="21"/>
              <w:contextualSpacing/>
              <w:jc w:val="both"/>
              <w:rPr>
                <w:b/>
              </w:rPr>
            </w:pPr>
            <w:r w:rsidRPr="00E91417">
              <w:rPr>
                <w:b/>
                <w:lang w:eastAsia="zh-CN"/>
              </w:rPr>
              <w:t>Час – до 18:00 год.</w:t>
            </w:r>
          </w:p>
        </w:tc>
      </w:tr>
      <w:tr w:rsidR="00AF49AE" w:rsidRPr="00AF49AE" w:rsidTr="00256FCF">
        <w:trPr>
          <w:trHeight w:val="20"/>
        </w:trPr>
        <w:tc>
          <w:tcPr>
            <w:tcW w:w="1985" w:type="dxa"/>
            <w:vAlign w:val="center"/>
          </w:tcPr>
          <w:p w:rsidR="0056610B" w:rsidRPr="00AF49AE" w:rsidRDefault="002F7E5F" w:rsidP="00E91417">
            <w:pPr>
              <w:rPr>
                <w:b/>
                <w:sz w:val="20"/>
                <w:szCs w:val="20"/>
              </w:rPr>
            </w:pPr>
            <w:r>
              <w:rPr>
                <w:b/>
                <w:sz w:val="20"/>
                <w:szCs w:val="20"/>
              </w:rPr>
              <w:t>Додаток 2 ТД (</w:t>
            </w:r>
            <w:r w:rsidR="00E91417" w:rsidRPr="00E91417">
              <w:rPr>
                <w:b/>
                <w:sz w:val="20"/>
                <w:szCs w:val="20"/>
              </w:rPr>
              <w:t>РОЗДІЛ 1: ЗАГАЛЬНІ ВИМОГИ</w:t>
            </w:r>
            <w:r>
              <w:rPr>
                <w:b/>
                <w:sz w:val="20"/>
                <w:szCs w:val="20"/>
              </w:rPr>
              <w:t>)</w:t>
            </w:r>
            <w:r w:rsidR="00256FCF">
              <w:rPr>
                <w:b/>
                <w:sz w:val="20"/>
                <w:szCs w:val="20"/>
              </w:rPr>
              <w:t xml:space="preserve"> </w:t>
            </w:r>
          </w:p>
        </w:tc>
        <w:tc>
          <w:tcPr>
            <w:tcW w:w="6946" w:type="dxa"/>
            <w:shd w:val="clear" w:color="auto" w:fill="auto"/>
            <w:vAlign w:val="center"/>
          </w:tcPr>
          <w:p w:rsidR="00E91417" w:rsidRPr="00E91417" w:rsidRDefault="00E91417" w:rsidP="00E91417">
            <w:pPr>
              <w:jc w:val="right"/>
              <w:rPr>
                <w:b/>
                <w:strike/>
              </w:rPr>
            </w:pPr>
            <w:r w:rsidRPr="00E91417">
              <w:rPr>
                <w:b/>
                <w:strike/>
              </w:rPr>
              <w:t xml:space="preserve">Додаток 2 </w:t>
            </w:r>
          </w:p>
          <w:p w:rsidR="00E91417" w:rsidRPr="00E91417" w:rsidRDefault="00E91417" w:rsidP="00E91417">
            <w:pPr>
              <w:jc w:val="right"/>
              <w:rPr>
                <w:strike/>
              </w:rPr>
            </w:pPr>
            <w:r w:rsidRPr="00E91417">
              <w:rPr>
                <w:b/>
                <w:strike/>
              </w:rPr>
              <w:t>до тендерної документації</w:t>
            </w:r>
          </w:p>
          <w:p w:rsidR="00E91417" w:rsidRPr="00E91417" w:rsidRDefault="00E91417" w:rsidP="00E91417">
            <w:pPr>
              <w:jc w:val="center"/>
              <w:rPr>
                <w:strike/>
              </w:rPr>
            </w:pPr>
            <w:r w:rsidRPr="00E91417">
              <w:rPr>
                <w:strike/>
              </w:rPr>
              <w:t>Інформація про предмет закупівлі:</w:t>
            </w:r>
          </w:p>
          <w:p w:rsidR="00E91417" w:rsidRPr="00E91417" w:rsidRDefault="00E91417" w:rsidP="00E91417">
            <w:pPr>
              <w:jc w:val="center"/>
              <w:rPr>
                <w:bCs/>
                <w:strike/>
              </w:rPr>
            </w:pPr>
            <w:r w:rsidRPr="00E91417">
              <w:rPr>
                <w:b/>
                <w:bCs/>
                <w:strike/>
              </w:rPr>
              <w:t>«Фармацевтична продукція - код Основного словника національного класифікатора України ДК 021:2015 "Єдиний закупівельний словник"– 33600000-6 (Basiliximab; Amphotericin B; Electrolytes; Valganciclovir; Comb drug; Methylprednisolone; Meropenem; Methylprednisolone; Electrolytes; Mono; Anti-D (rh) immunoglobulin; Ceftriaxone)»</w:t>
            </w:r>
          </w:p>
          <w:p w:rsidR="00E91417" w:rsidRPr="00E91417" w:rsidRDefault="00E91417" w:rsidP="00E91417">
            <w:pPr>
              <w:jc w:val="center"/>
              <w:rPr>
                <w:strike/>
              </w:rPr>
            </w:pPr>
            <w:r w:rsidRPr="00E91417">
              <w:rPr>
                <w:strike/>
              </w:rPr>
              <w:t xml:space="preserve"> </w:t>
            </w:r>
          </w:p>
          <w:p w:rsidR="00E91417" w:rsidRPr="00E91417" w:rsidRDefault="00E91417" w:rsidP="00E9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b/>
                <w:strike/>
                <w:lang w:eastAsia="zh-CN"/>
              </w:rPr>
            </w:pPr>
            <w:r w:rsidRPr="00E91417">
              <w:rPr>
                <w:b/>
                <w:strike/>
              </w:rPr>
              <w:t xml:space="preserve">РОЗДІЛ 1: </w:t>
            </w:r>
            <w:r w:rsidRPr="00E91417">
              <w:rPr>
                <w:b/>
                <w:strike/>
                <w:lang w:eastAsia="zh-CN"/>
              </w:rPr>
              <w:t>ЗАГАЛЬНІ ВИМОГИ:</w:t>
            </w:r>
          </w:p>
          <w:p w:rsidR="00E91417" w:rsidRPr="00E91417" w:rsidRDefault="00E91417" w:rsidP="00E91417">
            <w:pPr>
              <w:widowControl w:val="0"/>
              <w:autoSpaceDE w:val="0"/>
              <w:spacing w:line="264" w:lineRule="auto"/>
              <w:ind w:firstLine="284"/>
              <w:jc w:val="both"/>
              <w:rPr>
                <w:bCs/>
                <w:strike/>
                <w:lang w:eastAsia="zh-CN"/>
              </w:rPr>
            </w:pPr>
            <w:r w:rsidRPr="00E91417">
              <w:rPr>
                <w:strike/>
                <w:lang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E91417">
              <w:rPr>
                <w:bCs/>
                <w:strike/>
                <w:lang w:eastAsia="zh-CN"/>
              </w:rPr>
              <w:t>.</w:t>
            </w:r>
          </w:p>
          <w:p w:rsidR="00E91417" w:rsidRPr="00E91417" w:rsidRDefault="00E91417" w:rsidP="00E91417">
            <w:pPr>
              <w:widowControl w:val="0"/>
              <w:autoSpaceDE w:val="0"/>
              <w:spacing w:line="264" w:lineRule="auto"/>
              <w:ind w:firstLine="284"/>
              <w:jc w:val="both"/>
              <w:rPr>
                <w:strike/>
                <w:lang w:eastAsia="zh-CN"/>
              </w:rPr>
            </w:pPr>
            <w:r w:rsidRPr="00E91417">
              <w:rPr>
                <w:strike/>
                <w:lang w:eastAsia="zh-CN"/>
              </w:rPr>
              <w:t xml:space="preserve">2.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w:t>
            </w:r>
            <w:r w:rsidRPr="00E91417">
              <w:rPr>
                <w:strike/>
                <w:lang w:eastAsia="zh-CN"/>
              </w:rPr>
              <w:lastRenderedPageBreak/>
              <w:t>транспортуванню</w:t>
            </w:r>
            <w:r w:rsidRPr="00E91417">
              <w:rPr>
                <w:strike/>
                <w:spacing w:val="1"/>
                <w:lang w:eastAsia="zh-CN"/>
              </w:rPr>
              <w:t xml:space="preserve">) </w:t>
            </w:r>
            <w:r w:rsidRPr="00E91417">
              <w:rPr>
                <w:strike/>
                <w:spacing w:val="2"/>
                <w:lang w:eastAsia="zh-CN"/>
              </w:rPr>
              <w:t xml:space="preserve">наявність в учасника власних або орендованих </w:t>
            </w:r>
            <w:r w:rsidRPr="00E91417">
              <w:rPr>
                <w:strike/>
                <w:spacing w:val="1"/>
                <w:lang w:eastAsia="zh-CN"/>
              </w:rPr>
              <w:t xml:space="preserve">складових приміщень та транспорту для забезпечення умов зберігання </w:t>
            </w:r>
            <w:r w:rsidRPr="00E91417">
              <w:rPr>
                <w:strike/>
                <w:lang w:eastAsia="zh-CN"/>
              </w:rPr>
              <w:t>"холодовий ланцюг".</w:t>
            </w:r>
          </w:p>
          <w:p w:rsidR="00E91417" w:rsidRPr="00E91417" w:rsidRDefault="00E91417" w:rsidP="00E91417">
            <w:pPr>
              <w:widowControl w:val="0"/>
              <w:autoSpaceDE w:val="0"/>
              <w:spacing w:line="264" w:lineRule="auto"/>
              <w:ind w:firstLine="284"/>
              <w:jc w:val="both"/>
              <w:rPr>
                <w:strike/>
                <w:lang w:eastAsia="zh-CN"/>
              </w:rPr>
            </w:pPr>
            <w:r w:rsidRPr="00E91417">
              <w:rPr>
                <w:strike/>
                <w:lang w:eastAsia="zh-CN"/>
              </w:rPr>
              <w:t>3.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rsidR="00E91417" w:rsidRPr="00E91417" w:rsidRDefault="00E91417" w:rsidP="00E91417">
            <w:pPr>
              <w:widowControl w:val="0"/>
              <w:autoSpaceDE w:val="0"/>
              <w:spacing w:line="264" w:lineRule="auto"/>
              <w:ind w:firstLine="284"/>
              <w:jc w:val="both"/>
              <w:rPr>
                <w:strike/>
                <w:lang w:eastAsia="zh-CN"/>
              </w:rPr>
            </w:pPr>
            <w:r w:rsidRPr="00E91417">
              <w:rPr>
                <w:strike/>
                <w:lang w:eastAsia="zh-CN"/>
              </w:rPr>
              <w:t xml:space="preserve">4. </w:t>
            </w:r>
            <w:r w:rsidRPr="00E91417">
              <w:rPr>
                <w:bCs/>
                <w:strike/>
                <w:lang w:eastAsia="zh-CN"/>
              </w:rPr>
              <w:t xml:space="preserve">Усі запропоновані лікарські засоби мають бути належним чином зареєстрованими </w:t>
            </w:r>
            <w:r w:rsidRPr="00E91417">
              <w:rPr>
                <w:strike/>
                <w:lang w:eastAsia="zh-CN"/>
              </w:rPr>
              <w:t xml:space="preserve">в МОЗ України (подаються завірені належним чином </w:t>
            </w:r>
            <w:r w:rsidRPr="00E91417">
              <w:rPr>
                <w:strike/>
                <w:u w:val="single"/>
                <w:lang w:eastAsia="zh-CN"/>
              </w:rPr>
              <w:t>копії реєстраційних посвідчень у складі тендерної пропозиції</w:t>
            </w:r>
            <w:r w:rsidRPr="00E91417">
              <w:rPr>
                <w:strike/>
                <w:lang w:eastAsia="zh-CN"/>
              </w:rPr>
              <w:t>). Препарати повинні мати інструкції по використанню українською мовою.</w:t>
            </w:r>
          </w:p>
          <w:p w:rsidR="00E91417" w:rsidRPr="00E91417" w:rsidRDefault="00E91417" w:rsidP="00E91417">
            <w:pPr>
              <w:spacing w:line="264" w:lineRule="auto"/>
              <w:ind w:firstLine="284"/>
              <w:jc w:val="both"/>
              <w:rPr>
                <w:b/>
                <w:strike/>
                <w:lang w:eastAsia="ru-RU"/>
              </w:rPr>
            </w:pPr>
            <w:r w:rsidRPr="00E91417">
              <w:rPr>
                <w:strike/>
              </w:rPr>
              <w:t>5. Учасник зобов’язаний забезпечити поставку (доставку) лікарських засобів</w:t>
            </w:r>
            <w:r w:rsidRPr="00E91417">
              <w:rPr>
                <w:b/>
                <w:strike/>
              </w:rPr>
              <w:t xml:space="preserve"> (за адресою замовника) 29000, м. Хмельницький, вул. Пілотська, буд. № 1.</w:t>
            </w:r>
          </w:p>
          <w:p w:rsidR="00E91417" w:rsidRPr="00E91417" w:rsidRDefault="00E91417" w:rsidP="00E91417">
            <w:pPr>
              <w:widowControl w:val="0"/>
              <w:autoSpaceDE w:val="0"/>
              <w:spacing w:line="264" w:lineRule="auto"/>
              <w:ind w:firstLine="284"/>
              <w:jc w:val="both"/>
              <w:rPr>
                <w:strike/>
                <w:lang w:eastAsia="zh-CN"/>
              </w:rPr>
            </w:pPr>
            <w:r w:rsidRPr="00E91417">
              <w:rPr>
                <w:strike/>
                <w:lang w:eastAsia="zh-CN"/>
              </w:rPr>
              <w:t xml:space="preserve">6.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 </w:t>
            </w:r>
            <w:r w:rsidRPr="00E91417">
              <w:rPr>
                <w:strike/>
                <w:u w:val="single"/>
                <w:lang w:eastAsia="zh-CN"/>
              </w:rPr>
              <w:t>із зазначенням документів</w:t>
            </w:r>
            <w:r w:rsidRPr="00E91417">
              <w:rPr>
                <w:strike/>
                <w:lang w:eastAsia="zh-CN"/>
              </w:rPr>
              <w:t>, які підтверджують ці вимоги.</w:t>
            </w:r>
          </w:p>
          <w:p w:rsidR="00E91417" w:rsidRPr="00E91417" w:rsidRDefault="00E91417" w:rsidP="00E91417">
            <w:pPr>
              <w:widowControl w:val="0"/>
              <w:autoSpaceDE w:val="0"/>
              <w:spacing w:line="264" w:lineRule="auto"/>
              <w:ind w:firstLine="284"/>
              <w:jc w:val="both"/>
              <w:rPr>
                <w:strike/>
                <w:lang w:eastAsia="zh-CN"/>
              </w:rPr>
            </w:pPr>
            <w:r w:rsidRPr="00E91417">
              <w:rPr>
                <w:strike/>
                <w:lang w:eastAsia="zh-CN"/>
              </w:rPr>
              <w:t xml:space="preserve">7. Ціни за одиницю товару запропоновані учасником повинні формуватись,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w:t>
            </w:r>
            <w:r w:rsidRPr="00E91417">
              <w:rPr>
                <w:strike/>
                <w:lang w:eastAsia="zh-CN"/>
              </w:rPr>
              <w:lastRenderedPageBreak/>
              <w:t>медичного призначення» зі змінами.</w:t>
            </w:r>
          </w:p>
          <w:p w:rsidR="0056610B" w:rsidRPr="00E91417" w:rsidRDefault="00E91417" w:rsidP="00E91417">
            <w:pPr>
              <w:widowControl w:val="0"/>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eastAsia="zh-CN"/>
              </w:rPr>
            </w:pPr>
            <w:r w:rsidRPr="00E91417">
              <w:rPr>
                <w:strike/>
                <w:lang w:eastAsia="zh-CN"/>
              </w:rPr>
              <w:tab/>
              <w:t>8.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з наданням підтверджуючих документів від виробника стосовно набуття такого статусу),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w:t>
            </w:r>
          </w:p>
        </w:tc>
        <w:tc>
          <w:tcPr>
            <w:tcW w:w="6946" w:type="dxa"/>
            <w:vAlign w:val="center"/>
          </w:tcPr>
          <w:p w:rsidR="00E91417" w:rsidRDefault="00E91417" w:rsidP="00E91417">
            <w:pPr>
              <w:jc w:val="right"/>
              <w:rPr>
                <w:b/>
              </w:rPr>
            </w:pPr>
            <w:r>
              <w:rPr>
                <w:b/>
              </w:rPr>
              <w:lastRenderedPageBreak/>
              <w:t xml:space="preserve">Додаток 2 </w:t>
            </w:r>
          </w:p>
          <w:p w:rsidR="00E91417" w:rsidRDefault="00E91417" w:rsidP="00E91417">
            <w:pPr>
              <w:jc w:val="right"/>
            </w:pPr>
            <w:r>
              <w:rPr>
                <w:b/>
              </w:rPr>
              <w:t>до тендерної документації</w:t>
            </w:r>
          </w:p>
          <w:p w:rsidR="00E91417" w:rsidRDefault="00E91417" w:rsidP="00E91417">
            <w:pPr>
              <w:jc w:val="center"/>
            </w:pPr>
            <w:r>
              <w:t>Інформація про предмет закупівлі:</w:t>
            </w:r>
          </w:p>
          <w:p w:rsidR="00E91417" w:rsidRDefault="00E91417" w:rsidP="00E91417">
            <w:pPr>
              <w:jc w:val="center"/>
              <w:rPr>
                <w:bCs/>
              </w:rPr>
            </w:pPr>
            <w:r>
              <w:rPr>
                <w:b/>
                <w:bCs/>
              </w:rPr>
              <w:t>«Фармацевтична продукція - код Основного словника національного класифікатора України ДК 021:2015 "Єдиний закупівельний словник"– 33600000-6 (Basiliximab; Amphotericin B; Electrolytes; Valganciclovir; Comb drug; Methylprednisolone; Meropenem; Methylprednisolone; Electrolytes; Mono; Anti-D (rh) immunoglobulin; Ceftriaxone)»</w:t>
            </w:r>
          </w:p>
          <w:p w:rsidR="00E91417" w:rsidRDefault="00E91417" w:rsidP="00E91417">
            <w:pPr>
              <w:jc w:val="center"/>
            </w:pPr>
            <w:r>
              <w:t xml:space="preserve"> </w:t>
            </w:r>
          </w:p>
          <w:p w:rsidR="00E91417" w:rsidRDefault="00E91417" w:rsidP="00E9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b/>
                <w:lang w:eastAsia="zh-CN"/>
              </w:rPr>
            </w:pPr>
            <w:r>
              <w:rPr>
                <w:b/>
              </w:rPr>
              <w:t xml:space="preserve">РОЗДІЛ 1: </w:t>
            </w:r>
            <w:r>
              <w:rPr>
                <w:b/>
                <w:lang w:eastAsia="zh-CN"/>
              </w:rPr>
              <w:t>ЗАГАЛЬНІ ВИМОГИ:</w:t>
            </w:r>
          </w:p>
          <w:p w:rsidR="00E91417" w:rsidRDefault="00E91417" w:rsidP="00E91417">
            <w:pPr>
              <w:widowControl w:val="0"/>
              <w:autoSpaceDE w:val="0"/>
              <w:spacing w:line="264" w:lineRule="auto"/>
              <w:ind w:firstLine="284"/>
              <w:jc w:val="both"/>
              <w:rPr>
                <w:bCs/>
                <w:lang w:eastAsia="zh-CN"/>
              </w:rPr>
            </w:pPr>
            <w:r>
              <w:rPr>
                <w:lang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Pr>
                <w:bCs/>
                <w:lang w:eastAsia="zh-CN"/>
              </w:rPr>
              <w:t>.</w:t>
            </w:r>
          </w:p>
          <w:p w:rsidR="00E91417" w:rsidRDefault="00E91417" w:rsidP="00E91417">
            <w:pPr>
              <w:widowControl w:val="0"/>
              <w:autoSpaceDE w:val="0"/>
              <w:spacing w:line="264" w:lineRule="auto"/>
              <w:ind w:firstLine="284"/>
              <w:jc w:val="both"/>
              <w:rPr>
                <w:lang w:eastAsia="zh-CN"/>
              </w:rPr>
            </w:pPr>
            <w:r>
              <w:rPr>
                <w:lang w:eastAsia="zh-CN"/>
              </w:rPr>
              <w:t xml:space="preserve">2.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w:t>
            </w:r>
            <w:r>
              <w:rPr>
                <w:lang w:eastAsia="zh-CN"/>
              </w:rPr>
              <w:lastRenderedPageBreak/>
              <w:t>транспортуванню</w:t>
            </w:r>
            <w:r>
              <w:rPr>
                <w:spacing w:val="1"/>
                <w:lang w:eastAsia="zh-CN"/>
              </w:rPr>
              <w:t xml:space="preserve">) </w:t>
            </w:r>
            <w:r>
              <w:rPr>
                <w:spacing w:val="2"/>
                <w:lang w:eastAsia="zh-CN"/>
              </w:rPr>
              <w:t xml:space="preserve">наявність в учасника власних або орендованих </w:t>
            </w:r>
            <w:r>
              <w:rPr>
                <w:spacing w:val="1"/>
                <w:lang w:eastAsia="zh-CN"/>
              </w:rPr>
              <w:t xml:space="preserve">складових приміщень та транспорту для забезпечення умов зберігання </w:t>
            </w:r>
            <w:r>
              <w:rPr>
                <w:lang w:eastAsia="zh-CN"/>
              </w:rPr>
              <w:t>"холодовий ланцюг".</w:t>
            </w:r>
          </w:p>
          <w:p w:rsidR="00E91417" w:rsidRDefault="00E91417" w:rsidP="00E91417">
            <w:pPr>
              <w:widowControl w:val="0"/>
              <w:autoSpaceDE w:val="0"/>
              <w:spacing w:line="264" w:lineRule="auto"/>
              <w:ind w:firstLine="284"/>
              <w:jc w:val="both"/>
              <w:rPr>
                <w:lang w:eastAsia="zh-CN"/>
              </w:rPr>
            </w:pPr>
            <w:r>
              <w:rPr>
                <w:lang w:eastAsia="zh-CN"/>
              </w:rPr>
              <w:t>3.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rsidR="00E91417" w:rsidRDefault="00E91417" w:rsidP="00E91417">
            <w:pPr>
              <w:widowControl w:val="0"/>
              <w:autoSpaceDE w:val="0"/>
              <w:spacing w:line="264" w:lineRule="auto"/>
              <w:ind w:firstLine="284"/>
              <w:jc w:val="both"/>
              <w:rPr>
                <w:lang w:eastAsia="zh-CN"/>
              </w:rPr>
            </w:pPr>
            <w:r>
              <w:rPr>
                <w:lang w:eastAsia="zh-CN"/>
              </w:rPr>
              <w:t xml:space="preserve">4. </w:t>
            </w:r>
            <w:r>
              <w:rPr>
                <w:bCs/>
                <w:lang w:eastAsia="zh-CN"/>
              </w:rPr>
              <w:t xml:space="preserve">Усі запропоновані лікарські засоби мають бути належним чином зареєстрованими </w:t>
            </w:r>
            <w:r>
              <w:rPr>
                <w:lang w:eastAsia="zh-CN"/>
              </w:rPr>
              <w:t xml:space="preserve">в МОЗ України (подаються завірені належним чином </w:t>
            </w:r>
            <w:r>
              <w:rPr>
                <w:u w:val="single"/>
                <w:lang w:eastAsia="zh-CN"/>
              </w:rPr>
              <w:t>копії реєстраційних посвідчень при поставці товару</w:t>
            </w:r>
            <w:r>
              <w:rPr>
                <w:lang w:eastAsia="zh-CN"/>
              </w:rPr>
              <w:t>). Препарати повинні мати інструкції по використанню українською мовою.</w:t>
            </w:r>
          </w:p>
          <w:p w:rsidR="00E91417" w:rsidRDefault="00E91417" w:rsidP="00E91417">
            <w:pPr>
              <w:spacing w:line="264" w:lineRule="auto"/>
              <w:ind w:firstLine="284"/>
              <w:jc w:val="both"/>
              <w:rPr>
                <w:b/>
                <w:lang w:eastAsia="ru-RU"/>
              </w:rPr>
            </w:pPr>
            <w:r>
              <w:t>5. Учасник зобов’язаний забезпечити поставку (доставку) лікарських засобів</w:t>
            </w:r>
            <w:r>
              <w:rPr>
                <w:b/>
              </w:rPr>
              <w:t xml:space="preserve"> (за адресою замовника) 29000, м. Хмельницький, вул. Пілотська, буд. № 1.</w:t>
            </w:r>
          </w:p>
          <w:p w:rsidR="00E91417" w:rsidRDefault="00E91417" w:rsidP="00E91417">
            <w:pPr>
              <w:widowControl w:val="0"/>
              <w:autoSpaceDE w:val="0"/>
              <w:spacing w:line="264" w:lineRule="auto"/>
              <w:ind w:firstLine="284"/>
              <w:jc w:val="both"/>
              <w:rPr>
                <w:lang w:eastAsia="zh-CN"/>
              </w:rPr>
            </w:pPr>
            <w:r>
              <w:rPr>
                <w:lang w:eastAsia="zh-CN"/>
              </w:rPr>
              <w:t xml:space="preserve">6.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 </w:t>
            </w:r>
            <w:r>
              <w:rPr>
                <w:u w:val="single"/>
                <w:lang w:eastAsia="zh-CN"/>
              </w:rPr>
              <w:t>із зазначенням документів</w:t>
            </w:r>
            <w:r>
              <w:rPr>
                <w:lang w:eastAsia="zh-CN"/>
              </w:rPr>
              <w:t>, які підтверджують ці вимоги.</w:t>
            </w:r>
          </w:p>
          <w:p w:rsidR="00E91417" w:rsidRDefault="00E91417" w:rsidP="00E91417">
            <w:pPr>
              <w:widowControl w:val="0"/>
              <w:autoSpaceDE w:val="0"/>
              <w:spacing w:line="264" w:lineRule="auto"/>
              <w:ind w:firstLine="284"/>
              <w:jc w:val="both"/>
              <w:rPr>
                <w:lang w:eastAsia="zh-CN"/>
              </w:rPr>
            </w:pPr>
            <w:r>
              <w:rPr>
                <w:lang w:eastAsia="zh-CN"/>
              </w:rPr>
              <w:t xml:space="preserve">7. Ціни за одиницю товару запропоновані учасником повинні формуватись,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w:t>
            </w:r>
            <w:r>
              <w:rPr>
                <w:lang w:eastAsia="zh-CN"/>
              </w:rPr>
              <w:lastRenderedPageBreak/>
              <w:t>медичного призначення» зі змінами.</w:t>
            </w:r>
          </w:p>
          <w:p w:rsidR="00E91417" w:rsidRDefault="00E91417" w:rsidP="00E91417">
            <w:pPr>
              <w:widowControl w:val="0"/>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lang w:eastAsia="zh-CN"/>
              </w:rPr>
            </w:pPr>
            <w:r>
              <w:rPr>
                <w:lang w:eastAsia="zh-CN"/>
              </w:rPr>
              <w:tab/>
              <w:t>8.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з наданням підтверджуючих документів від виробника стосовно набуття такого статусу),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 Дана вимога стосується препаратів вітчизняного виробництва.</w:t>
            </w:r>
          </w:p>
          <w:p w:rsidR="0056610B" w:rsidRPr="00AF49AE" w:rsidRDefault="0056610B" w:rsidP="00E91417">
            <w:pPr>
              <w:widowControl w:val="0"/>
              <w:autoSpaceDE w:val="0"/>
              <w:spacing w:line="264" w:lineRule="auto"/>
              <w:jc w:val="both"/>
            </w:pPr>
          </w:p>
        </w:tc>
      </w:tr>
    </w:tbl>
    <w:p w:rsidR="00FB4EE8" w:rsidRPr="00AF49AE" w:rsidRDefault="00FB4EE8" w:rsidP="008D3271">
      <w:pPr>
        <w:shd w:val="clear" w:color="auto" w:fill="FFFFFF"/>
        <w:tabs>
          <w:tab w:val="left" w:pos="720"/>
        </w:tabs>
        <w:rPr>
          <w:b/>
        </w:rPr>
      </w:pPr>
    </w:p>
    <w:p w:rsidR="00BD414B" w:rsidRPr="00AF49AE" w:rsidRDefault="00BD414B" w:rsidP="008D3271">
      <w:pPr>
        <w:shd w:val="clear" w:color="auto" w:fill="FFFFFF"/>
        <w:tabs>
          <w:tab w:val="left" w:pos="720"/>
        </w:tabs>
        <w:rPr>
          <w:b/>
        </w:rPr>
      </w:pPr>
    </w:p>
    <w:p w:rsidR="008D3271" w:rsidRPr="00AF49AE" w:rsidRDefault="00BD414B" w:rsidP="008D3271">
      <w:pPr>
        <w:shd w:val="clear" w:color="auto" w:fill="FFFFFF"/>
        <w:tabs>
          <w:tab w:val="left" w:pos="720"/>
        </w:tabs>
        <w:rPr>
          <w:b/>
        </w:rPr>
      </w:pPr>
      <w:r w:rsidRPr="00AF49AE">
        <w:rPr>
          <w:b/>
        </w:rPr>
        <w:t xml:space="preserve">                       </w:t>
      </w:r>
      <w:r w:rsidR="00C86D12" w:rsidRPr="00AF49AE">
        <w:rPr>
          <w:b/>
        </w:rPr>
        <w:t>Уповноважена особа</w:t>
      </w:r>
      <w:r w:rsidR="00C86D12" w:rsidRPr="00AF49AE">
        <w:rPr>
          <w:b/>
        </w:rPr>
        <w:tab/>
      </w:r>
      <w:r w:rsidR="00C86D12" w:rsidRPr="00AF49AE">
        <w:rPr>
          <w:b/>
        </w:rPr>
        <w:tab/>
      </w:r>
      <w:r w:rsidR="00C86D12" w:rsidRPr="00AF49AE">
        <w:rPr>
          <w:b/>
        </w:rPr>
        <w:tab/>
      </w:r>
      <w:r w:rsidR="007311E9" w:rsidRPr="00AF49AE">
        <w:rPr>
          <w:b/>
          <w:bCs/>
          <w:spacing w:val="1"/>
        </w:rPr>
        <w:tab/>
      </w:r>
      <w:r w:rsidR="00C86D12" w:rsidRPr="00AF49AE">
        <w:rPr>
          <w:b/>
          <w:bCs/>
          <w:spacing w:val="1"/>
        </w:rPr>
        <w:tab/>
      </w:r>
      <w:r w:rsidR="008D3271" w:rsidRPr="00AF49AE">
        <w:rPr>
          <w:b/>
          <w:bCs/>
          <w:spacing w:val="1"/>
        </w:rPr>
        <w:t xml:space="preserve">_____________ </w:t>
      </w:r>
      <w:r w:rsidR="008D3271" w:rsidRPr="00AF49AE">
        <w:rPr>
          <w:b/>
          <w:bCs/>
          <w:spacing w:val="1"/>
        </w:rPr>
        <w:tab/>
      </w:r>
      <w:r w:rsidR="003F6CC1" w:rsidRPr="00AF49AE">
        <w:rPr>
          <w:b/>
          <w:bCs/>
          <w:spacing w:val="1"/>
        </w:rPr>
        <w:tab/>
      </w:r>
      <w:r w:rsidR="00DE4E7F" w:rsidRPr="00AF49AE">
        <w:rPr>
          <w:b/>
          <w:bCs/>
          <w:spacing w:val="1"/>
        </w:rPr>
        <w:tab/>
      </w:r>
      <w:r w:rsidR="00DE4E7F" w:rsidRPr="00AF49AE">
        <w:rPr>
          <w:b/>
          <w:bCs/>
          <w:spacing w:val="1"/>
        </w:rPr>
        <w:tab/>
      </w:r>
      <w:r w:rsidR="00DE4E7F" w:rsidRPr="00AF49AE">
        <w:rPr>
          <w:b/>
          <w:bCs/>
          <w:spacing w:val="1"/>
        </w:rPr>
        <w:tab/>
      </w:r>
      <w:r w:rsidR="002B3AA5" w:rsidRPr="00AF49AE">
        <w:rPr>
          <w:b/>
        </w:rPr>
        <w:t>Су</w:t>
      </w:r>
      <w:r w:rsidR="00256FCF">
        <w:rPr>
          <w:b/>
        </w:rPr>
        <w:t>р</w:t>
      </w:r>
      <w:r w:rsidR="002B3AA5" w:rsidRPr="00AF49AE">
        <w:rPr>
          <w:b/>
        </w:rPr>
        <w:t>ник Алла Василівна</w:t>
      </w:r>
    </w:p>
    <w:p w:rsidR="00732F4D" w:rsidRPr="00AF49AE" w:rsidRDefault="007311E9" w:rsidP="00917E62">
      <w:pPr>
        <w:shd w:val="clear" w:color="auto" w:fill="FFFFFF"/>
        <w:tabs>
          <w:tab w:val="left" w:pos="720"/>
        </w:tabs>
        <w:rPr>
          <w:b/>
          <w:bCs/>
          <w:spacing w:val="1"/>
        </w:rPr>
      </w:pPr>
      <w:r w:rsidRPr="00AF49AE">
        <w:rPr>
          <w:b/>
          <w:bCs/>
          <w:spacing w:val="1"/>
        </w:rPr>
        <w:tab/>
      </w:r>
      <w:r w:rsidRPr="00AF49AE">
        <w:rPr>
          <w:b/>
          <w:bCs/>
          <w:spacing w:val="1"/>
        </w:rPr>
        <w:tab/>
      </w:r>
      <w:r w:rsidRPr="00AF49AE">
        <w:rPr>
          <w:b/>
          <w:bCs/>
          <w:spacing w:val="1"/>
        </w:rPr>
        <w:tab/>
      </w:r>
      <w:r w:rsidRPr="00AF49AE">
        <w:rPr>
          <w:b/>
          <w:bCs/>
          <w:spacing w:val="1"/>
        </w:rPr>
        <w:tab/>
      </w:r>
      <w:r w:rsidRPr="00AF49AE">
        <w:rPr>
          <w:b/>
          <w:bCs/>
          <w:spacing w:val="1"/>
        </w:rPr>
        <w:tab/>
      </w:r>
      <w:r w:rsidR="00C86D12" w:rsidRPr="00AF49AE">
        <w:rPr>
          <w:b/>
          <w:bCs/>
          <w:spacing w:val="1"/>
        </w:rPr>
        <w:tab/>
      </w:r>
      <w:r w:rsidR="00C86D12" w:rsidRPr="00AF49AE">
        <w:rPr>
          <w:b/>
          <w:bCs/>
          <w:spacing w:val="1"/>
        </w:rPr>
        <w:tab/>
      </w:r>
      <w:r w:rsidR="00C86D12" w:rsidRPr="00AF49AE">
        <w:rPr>
          <w:b/>
          <w:bCs/>
          <w:spacing w:val="1"/>
        </w:rPr>
        <w:tab/>
      </w:r>
      <w:r w:rsidRPr="00AF49AE">
        <w:rPr>
          <w:b/>
          <w:bCs/>
          <w:spacing w:val="1"/>
        </w:rPr>
        <w:tab/>
      </w:r>
      <w:r w:rsidR="00BD414B" w:rsidRPr="00AF49AE">
        <w:rPr>
          <w:b/>
          <w:bCs/>
          <w:spacing w:val="1"/>
        </w:rPr>
        <w:t xml:space="preserve">             </w:t>
      </w:r>
      <w:r w:rsidR="008D3271" w:rsidRPr="00AF49AE">
        <w:rPr>
          <w:b/>
          <w:bCs/>
          <w:spacing w:val="1"/>
        </w:rPr>
        <w:t>м.п.</w:t>
      </w:r>
    </w:p>
    <w:sectPr w:rsidR="00732F4D" w:rsidRPr="00AF49AE"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6">
    <w:nsid w:val="319F60C5"/>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9">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2">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5">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9">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1"/>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4"/>
  </w:num>
  <w:num w:numId="10">
    <w:abstractNumId w:val="18"/>
  </w:num>
  <w:num w:numId="11">
    <w:abstractNumId w:val="2"/>
  </w:num>
  <w:num w:numId="12">
    <w:abstractNumId w:val="19"/>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9"/>
  </w:num>
  <w:num w:numId="21">
    <w:abstractNumId w:val="17"/>
  </w:num>
  <w:num w:numId="22">
    <w:abstractNumId w:val="13"/>
  </w:num>
  <w:num w:numId="23">
    <w:abstractNumId w:val="10"/>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103B01"/>
    <w:rsid w:val="0010777D"/>
    <w:rsid w:val="001138C4"/>
    <w:rsid w:val="001C0CCB"/>
    <w:rsid w:val="001F55A0"/>
    <w:rsid w:val="00237659"/>
    <w:rsid w:val="002523E7"/>
    <w:rsid w:val="00256FCF"/>
    <w:rsid w:val="002B3AA5"/>
    <w:rsid w:val="002D2BC5"/>
    <w:rsid w:val="002F54CC"/>
    <w:rsid w:val="002F6F0D"/>
    <w:rsid w:val="002F7E5F"/>
    <w:rsid w:val="003211F7"/>
    <w:rsid w:val="00323DFC"/>
    <w:rsid w:val="003B4E84"/>
    <w:rsid w:val="003D2558"/>
    <w:rsid w:val="003D6020"/>
    <w:rsid w:val="003F6CC1"/>
    <w:rsid w:val="00414BEC"/>
    <w:rsid w:val="00487F19"/>
    <w:rsid w:val="004924A9"/>
    <w:rsid w:val="0049446D"/>
    <w:rsid w:val="004B71E5"/>
    <w:rsid w:val="004E24AC"/>
    <w:rsid w:val="00502010"/>
    <w:rsid w:val="005235DC"/>
    <w:rsid w:val="0056610B"/>
    <w:rsid w:val="005D2E95"/>
    <w:rsid w:val="005E38E8"/>
    <w:rsid w:val="00661670"/>
    <w:rsid w:val="006D0CAA"/>
    <w:rsid w:val="007311E9"/>
    <w:rsid w:val="00732F4D"/>
    <w:rsid w:val="007400F2"/>
    <w:rsid w:val="007820A2"/>
    <w:rsid w:val="00800738"/>
    <w:rsid w:val="00815A8A"/>
    <w:rsid w:val="00845E21"/>
    <w:rsid w:val="00874822"/>
    <w:rsid w:val="008D3271"/>
    <w:rsid w:val="00916334"/>
    <w:rsid w:val="00917E62"/>
    <w:rsid w:val="00932211"/>
    <w:rsid w:val="009822A9"/>
    <w:rsid w:val="009C73E1"/>
    <w:rsid w:val="009E6795"/>
    <w:rsid w:val="00A24DB4"/>
    <w:rsid w:val="00A27F4C"/>
    <w:rsid w:val="00A441F5"/>
    <w:rsid w:val="00A83C45"/>
    <w:rsid w:val="00A86111"/>
    <w:rsid w:val="00AB71BB"/>
    <w:rsid w:val="00AC7304"/>
    <w:rsid w:val="00AF49AE"/>
    <w:rsid w:val="00B228EE"/>
    <w:rsid w:val="00B56D48"/>
    <w:rsid w:val="00B97EF6"/>
    <w:rsid w:val="00BD414B"/>
    <w:rsid w:val="00C86D12"/>
    <w:rsid w:val="00C9049B"/>
    <w:rsid w:val="00C9455C"/>
    <w:rsid w:val="00CF6793"/>
    <w:rsid w:val="00D03589"/>
    <w:rsid w:val="00D17B92"/>
    <w:rsid w:val="00DC57B4"/>
    <w:rsid w:val="00DE4E7F"/>
    <w:rsid w:val="00E422BC"/>
    <w:rsid w:val="00E56148"/>
    <w:rsid w:val="00E71699"/>
    <w:rsid w:val="00E91417"/>
    <w:rsid w:val="00EA6930"/>
    <w:rsid w:val="00EA71FA"/>
    <w:rsid w:val="00EB05AC"/>
    <w:rsid w:val="00EE479C"/>
    <w:rsid w:val="00F134B7"/>
    <w:rsid w:val="00F4450E"/>
    <w:rsid w:val="00F64EF8"/>
    <w:rsid w:val="00FA24BE"/>
    <w:rsid w:val="00FB3765"/>
    <w:rsid w:val="00FB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val="x-none"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3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32F6-2F3E-4583-B925-6E6DDF2A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69</cp:revision>
  <cp:lastPrinted>2022-12-22T10:25:00Z</cp:lastPrinted>
  <dcterms:created xsi:type="dcterms:W3CDTF">2020-03-25T13:50:00Z</dcterms:created>
  <dcterms:modified xsi:type="dcterms:W3CDTF">2023-03-27T13:50:00Z</dcterms:modified>
</cp:coreProperties>
</file>