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5" w:rsidRPr="00B042C1" w:rsidRDefault="00FD78AD" w:rsidP="00BD4A95">
      <w:pPr>
        <w:spacing w:after="0"/>
        <w:jc w:val="center"/>
        <w:rPr>
          <w:b/>
          <w:lang w:val="uk-UA"/>
        </w:rPr>
      </w:pPr>
      <w:r w:rsidRPr="00B042C1">
        <w:rPr>
          <w:b/>
          <w:lang w:val="uk-UA"/>
        </w:rPr>
        <w:t xml:space="preserve">Зміни внесені в </w:t>
      </w:r>
      <w:r w:rsidR="00BD4A95" w:rsidRPr="00B042C1">
        <w:rPr>
          <w:b/>
          <w:lang w:val="uk-UA"/>
        </w:rPr>
        <w:t>тендерну документацію</w:t>
      </w:r>
    </w:p>
    <w:p w:rsidR="00BD4A95" w:rsidRPr="00B042C1" w:rsidRDefault="00BD4A95" w:rsidP="00BD4A95">
      <w:pPr>
        <w:spacing w:after="0"/>
        <w:jc w:val="center"/>
        <w:rPr>
          <w:b/>
          <w:lang w:val="uk-UA"/>
        </w:rPr>
      </w:pPr>
    </w:p>
    <w:p w:rsidR="00DA2438" w:rsidRPr="00B042C1" w:rsidRDefault="00BD63FA" w:rsidP="00BD4A95">
      <w:pPr>
        <w:spacing w:after="0"/>
        <w:jc w:val="center"/>
        <w:rPr>
          <w:spacing w:val="1"/>
          <w:sz w:val="24"/>
          <w:szCs w:val="24"/>
          <w:lang w:val="uk-UA"/>
        </w:rPr>
      </w:pPr>
      <w:r w:rsidRPr="00B042C1">
        <w:rPr>
          <w:spacing w:val="1"/>
          <w:sz w:val="24"/>
          <w:szCs w:val="24"/>
          <w:lang w:val="uk-UA"/>
        </w:rPr>
        <w:t>ДК 021:2015 - 33600000-6 - Фармацевтична продукція (БРАМІТОБ (BRAMITOB®), ПУЛЬМОЗИМ(PULMOZYME®))</w:t>
      </w:r>
    </w:p>
    <w:p w:rsidR="00BD63FA" w:rsidRPr="00B042C1" w:rsidRDefault="00BD63FA" w:rsidP="00BD4A95">
      <w:pPr>
        <w:spacing w:after="0"/>
        <w:jc w:val="center"/>
        <w:rPr>
          <w:spacing w:val="1"/>
          <w:sz w:val="24"/>
          <w:szCs w:val="24"/>
          <w:lang w:val="uk-UA"/>
        </w:rPr>
      </w:pPr>
    </w:p>
    <w:p w:rsidR="00BA7B05" w:rsidRPr="00B042C1" w:rsidRDefault="002D16D5" w:rsidP="00BD4A95">
      <w:pPr>
        <w:spacing w:after="0"/>
        <w:jc w:val="center"/>
        <w:rPr>
          <w:spacing w:val="1"/>
          <w:sz w:val="24"/>
          <w:szCs w:val="24"/>
          <w:lang w:val="uk-UA"/>
        </w:rPr>
      </w:pPr>
      <w:r w:rsidRPr="00B042C1">
        <w:rPr>
          <w:spacing w:val="1"/>
          <w:sz w:val="24"/>
          <w:szCs w:val="24"/>
          <w:lang w:val="uk-UA"/>
        </w:rPr>
        <w:t xml:space="preserve">Ідентифікатор закупівлі: </w:t>
      </w:r>
      <w:r w:rsidR="00BD63FA" w:rsidRPr="00B042C1">
        <w:rPr>
          <w:spacing w:val="1"/>
          <w:sz w:val="24"/>
          <w:szCs w:val="24"/>
          <w:lang w:val="uk-UA"/>
        </w:rPr>
        <w:t>UA-2023-11-08-010211-a</w:t>
      </w:r>
    </w:p>
    <w:p w:rsidR="00BD4A95" w:rsidRPr="00B042C1" w:rsidRDefault="00BD4A95" w:rsidP="00BD4A95">
      <w:pPr>
        <w:spacing w:after="0"/>
        <w:jc w:val="center"/>
        <w:rPr>
          <w:b/>
          <w:lang w:val="uk-UA"/>
        </w:rPr>
      </w:pPr>
    </w:p>
    <w:tbl>
      <w:tblPr>
        <w:tblW w:w="561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79"/>
        <w:gridCol w:w="1003"/>
        <w:gridCol w:w="4589"/>
        <w:gridCol w:w="4731"/>
      </w:tblGrid>
      <w:tr w:rsidR="002D16D5" w:rsidRPr="00B042C1" w:rsidTr="00CD3769">
        <w:trPr>
          <w:trHeight w:val="20"/>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8"/>
                <w:lang w:val="uk-UA"/>
              </w:rPr>
            </w:pPr>
            <w:r w:rsidRPr="00B042C1">
              <w:rPr>
                <w:rFonts w:cs="Times New Roman"/>
                <w:sz w:val="16"/>
                <w:szCs w:val="18"/>
                <w:lang w:val="uk-UA"/>
              </w:rPr>
              <w:t>№ з/п</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6"/>
                <w:lang w:val="uk-UA"/>
              </w:rPr>
            </w:pPr>
            <w:r w:rsidRPr="00B042C1">
              <w:rPr>
                <w:rFonts w:cs="Times New Roman"/>
                <w:sz w:val="16"/>
                <w:szCs w:val="16"/>
                <w:lang w:val="uk-UA"/>
              </w:rPr>
              <w:t>Пункти</w:t>
            </w:r>
          </w:p>
        </w:tc>
        <w:tc>
          <w:tcPr>
            <w:tcW w:w="2164" w:type="pct"/>
            <w:tcBorders>
              <w:top w:val="outset" w:sz="6" w:space="0" w:color="auto"/>
              <w:left w:val="outset" w:sz="6" w:space="0" w:color="auto"/>
              <w:bottom w:val="outset" w:sz="6" w:space="0" w:color="auto"/>
            </w:tcBorders>
            <w:shd w:val="clear" w:color="auto" w:fill="auto"/>
          </w:tcPr>
          <w:p w:rsidR="002D16D5" w:rsidRPr="00B042C1" w:rsidRDefault="00BD63FA" w:rsidP="00C66732">
            <w:pPr>
              <w:ind w:firstLine="176"/>
              <w:jc w:val="both"/>
              <w:rPr>
                <w:rFonts w:cs="Times New Roman"/>
                <w:b/>
                <w:sz w:val="20"/>
                <w:szCs w:val="20"/>
                <w:lang w:val="uk-UA"/>
              </w:rPr>
            </w:pPr>
            <w:r w:rsidRPr="00B042C1">
              <w:rPr>
                <w:rFonts w:cs="Times New Roman"/>
                <w:sz w:val="20"/>
                <w:szCs w:val="20"/>
                <w:lang w:val="uk-UA"/>
              </w:rPr>
              <w:t>Редакція від 08.11</w:t>
            </w:r>
            <w:r w:rsidR="002D16D5" w:rsidRPr="00B042C1">
              <w:rPr>
                <w:rFonts w:cs="Times New Roman"/>
                <w:sz w:val="20"/>
                <w:szCs w:val="20"/>
                <w:lang w:val="uk-UA"/>
              </w:rPr>
              <w:t>.202</w:t>
            </w:r>
            <w:r w:rsidR="00684E4C" w:rsidRPr="00B042C1">
              <w:rPr>
                <w:rFonts w:cs="Times New Roman"/>
                <w:sz w:val="20"/>
                <w:szCs w:val="20"/>
                <w:lang w:val="uk-UA"/>
              </w:rPr>
              <w:t>3</w:t>
            </w:r>
            <w:r w:rsidR="002D16D5" w:rsidRPr="00B042C1">
              <w:rPr>
                <w:rFonts w:cs="Times New Roman"/>
                <w:sz w:val="20"/>
                <w:szCs w:val="20"/>
                <w:lang w:val="uk-UA"/>
              </w:rPr>
              <w:t xml:space="preserve"> року</w:t>
            </w:r>
          </w:p>
        </w:tc>
        <w:tc>
          <w:tcPr>
            <w:tcW w:w="2231" w:type="pct"/>
            <w:tcBorders>
              <w:top w:val="outset" w:sz="6" w:space="0" w:color="auto"/>
              <w:left w:val="outset" w:sz="6" w:space="0" w:color="auto"/>
              <w:bottom w:val="outset" w:sz="6" w:space="0" w:color="auto"/>
            </w:tcBorders>
            <w:shd w:val="clear" w:color="auto" w:fill="auto"/>
          </w:tcPr>
          <w:p w:rsidR="002D16D5" w:rsidRPr="00B042C1" w:rsidRDefault="002D16D5" w:rsidP="004C3853">
            <w:pPr>
              <w:ind w:firstLine="176"/>
              <w:jc w:val="both"/>
              <w:rPr>
                <w:rFonts w:cs="Times New Roman"/>
                <w:b/>
                <w:sz w:val="20"/>
                <w:szCs w:val="20"/>
                <w:lang w:val="uk-UA"/>
              </w:rPr>
            </w:pPr>
            <w:r w:rsidRPr="00B042C1">
              <w:rPr>
                <w:rFonts w:cs="Times New Roman"/>
                <w:sz w:val="20"/>
                <w:szCs w:val="20"/>
                <w:lang w:val="uk-UA"/>
              </w:rPr>
              <w:t>З</w:t>
            </w:r>
            <w:r w:rsidR="00DA2438" w:rsidRPr="00B042C1">
              <w:rPr>
                <w:rFonts w:cs="Times New Roman"/>
                <w:sz w:val="20"/>
                <w:szCs w:val="20"/>
                <w:lang w:val="uk-UA"/>
              </w:rPr>
              <w:t xml:space="preserve">міни від </w:t>
            </w:r>
            <w:r w:rsidR="004C3853" w:rsidRPr="00B042C1">
              <w:rPr>
                <w:rFonts w:cs="Times New Roman"/>
                <w:sz w:val="20"/>
                <w:szCs w:val="20"/>
                <w:lang w:val="uk-UA"/>
              </w:rPr>
              <w:t>13</w:t>
            </w:r>
            <w:r w:rsidR="004135F6" w:rsidRPr="00B042C1">
              <w:rPr>
                <w:rFonts w:cs="Times New Roman"/>
                <w:sz w:val="20"/>
                <w:szCs w:val="20"/>
                <w:lang w:val="uk-UA"/>
              </w:rPr>
              <w:t>.</w:t>
            </w:r>
            <w:r w:rsidR="004C3853" w:rsidRPr="00B042C1">
              <w:rPr>
                <w:rFonts w:cs="Times New Roman"/>
                <w:sz w:val="20"/>
                <w:szCs w:val="20"/>
                <w:lang w:val="uk-UA"/>
              </w:rPr>
              <w:t>11</w:t>
            </w:r>
            <w:r w:rsidR="00684E4C" w:rsidRPr="00B042C1">
              <w:rPr>
                <w:rFonts w:cs="Times New Roman"/>
                <w:sz w:val="20"/>
                <w:szCs w:val="20"/>
                <w:lang w:val="uk-UA"/>
              </w:rPr>
              <w:t>.2023</w:t>
            </w:r>
            <w:r w:rsidRPr="00B042C1">
              <w:rPr>
                <w:rFonts w:cs="Times New Roman"/>
                <w:sz w:val="20"/>
                <w:szCs w:val="20"/>
                <w:lang w:val="uk-UA"/>
              </w:rPr>
              <w:t xml:space="preserve"> року </w:t>
            </w:r>
          </w:p>
        </w:tc>
      </w:tr>
      <w:tr w:rsidR="00E955FE" w:rsidRPr="00B042C1" w:rsidTr="004C3853">
        <w:trPr>
          <w:trHeight w:val="2076"/>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E955FE" w:rsidRPr="00B042C1" w:rsidRDefault="00E955FE" w:rsidP="006D33F4">
            <w:pPr>
              <w:spacing w:before="100" w:beforeAutospacing="1" w:after="100" w:afterAutospacing="1"/>
              <w:rPr>
                <w:rFonts w:cs="Times New Roman"/>
                <w:sz w:val="16"/>
                <w:szCs w:val="18"/>
                <w:lang w:val="uk-UA"/>
              </w:rPr>
            </w:pPr>
            <w:r w:rsidRPr="00B042C1">
              <w:rPr>
                <w:rFonts w:cs="Times New Roman"/>
                <w:sz w:val="16"/>
                <w:szCs w:val="18"/>
                <w:lang w:val="uk-UA"/>
              </w:rPr>
              <w:t>1</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BD620C" w:rsidRPr="00B042C1" w:rsidRDefault="00BD63FA" w:rsidP="00BD620C">
            <w:pPr>
              <w:spacing w:after="120"/>
              <w:rPr>
                <w:rFonts w:cs="Times New Roman"/>
                <w:sz w:val="16"/>
                <w:szCs w:val="16"/>
                <w:lang w:val="uk-UA"/>
              </w:rPr>
            </w:pPr>
            <w:r w:rsidRPr="00B042C1">
              <w:rPr>
                <w:rFonts w:cs="Times New Roman"/>
                <w:sz w:val="16"/>
                <w:szCs w:val="16"/>
                <w:lang w:val="uk-UA"/>
              </w:rPr>
              <w:t>ТЕНДЕРНА ДОКУМЕНТАЦІЯ</w:t>
            </w:r>
          </w:p>
        </w:tc>
        <w:tc>
          <w:tcPr>
            <w:tcW w:w="2164"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238"/>
              <w:gridCol w:w="992"/>
              <w:gridCol w:w="3222"/>
            </w:tblGrid>
            <w:tr w:rsidR="00DF06B8" w:rsidRPr="00B042C1" w:rsidTr="007F772A">
              <w:tc>
                <w:tcPr>
                  <w:tcW w:w="4452" w:type="dxa"/>
                  <w:gridSpan w:val="3"/>
                </w:tcPr>
                <w:p w:rsidR="00DF06B8" w:rsidRPr="00B042C1" w:rsidRDefault="00DF06B8" w:rsidP="0057384D">
                  <w:pPr>
                    <w:jc w:val="both"/>
                    <w:rPr>
                      <w:rFonts w:cs="Times New Roman"/>
                      <w:sz w:val="14"/>
                      <w:szCs w:val="14"/>
                      <w:lang w:val="uk-UA"/>
                    </w:rPr>
                  </w:pPr>
                  <w:r w:rsidRPr="00B042C1">
                    <w:rPr>
                      <w:rFonts w:cs="Times New Roman"/>
                      <w:sz w:val="14"/>
                      <w:szCs w:val="14"/>
                      <w:lang w:val="uk-UA"/>
                    </w:rPr>
                    <w:t>IV розділ. Подання та розкриття тендерної пропозиції</w:t>
                  </w:r>
                </w:p>
              </w:tc>
            </w:tr>
            <w:tr w:rsidR="00DF06B8" w:rsidRPr="00B042C1" w:rsidTr="0057384D">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1</w:t>
                  </w:r>
                </w:p>
              </w:tc>
              <w:tc>
                <w:tcPr>
                  <w:tcW w:w="992" w:type="dxa"/>
                </w:tcPr>
                <w:p w:rsidR="00DF06B8" w:rsidRPr="00B042C1" w:rsidRDefault="00DF06B8" w:rsidP="00DF06B8">
                  <w:pPr>
                    <w:pStyle w:val="a5"/>
                    <w:widowControl w:val="0"/>
                    <w:spacing w:after="60"/>
                    <w:ind w:right="113"/>
                    <w:contextualSpacing/>
                    <w:jc w:val="both"/>
                    <w:rPr>
                      <w:rFonts w:ascii="Times New Roman" w:hAnsi="Times New Roman"/>
                      <w:color w:val="000000"/>
                      <w:sz w:val="14"/>
                      <w:szCs w:val="14"/>
                      <w:lang w:eastAsia="uk-UA"/>
                    </w:rPr>
                  </w:pPr>
                  <w:r w:rsidRPr="00B042C1">
                    <w:rPr>
                      <w:rStyle w:val="rvts0"/>
                      <w:rFonts w:ascii="Times New Roman" w:hAnsi="Times New Roman"/>
                      <w:color w:val="000000"/>
                      <w:sz w:val="14"/>
                      <w:szCs w:val="14"/>
                    </w:rPr>
                    <w:t>Кінцевий строк подання тендерної пропозиції</w:t>
                  </w:r>
                </w:p>
              </w:tc>
              <w:tc>
                <w:tcPr>
                  <w:tcW w:w="3222" w:type="dxa"/>
                </w:tcPr>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кінцевий строк подання тендерних пропозицій </w:t>
                  </w:r>
                  <w:r w:rsidRPr="00B042C1">
                    <w:rPr>
                      <w:strike/>
                      <w:color w:val="000000"/>
                      <w:sz w:val="14"/>
                      <w:szCs w:val="14"/>
                      <w:lang w:val="uk-UA"/>
                    </w:rPr>
                    <w:t>16</w:t>
                  </w:r>
                  <w:r w:rsidRPr="00B042C1">
                    <w:rPr>
                      <w:b/>
                      <w:strike/>
                      <w:color w:val="000000"/>
                      <w:sz w:val="14"/>
                      <w:szCs w:val="14"/>
                      <w:lang w:val="uk-UA"/>
                    </w:rPr>
                    <w:t>.11.</w:t>
                  </w:r>
                  <w:r w:rsidRPr="00B042C1">
                    <w:rPr>
                      <w:b/>
                      <w:bCs/>
                      <w:strike/>
                      <w:color w:val="000000"/>
                      <w:sz w:val="14"/>
                      <w:szCs w:val="14"/>
                      <w:lang w:val="uk-UA"/>
                    </w:rPr>
                    <w:t>2023</w:t>
                  </w:r>
                  <w:r w:rsidRPr="00B042C1">
                    <w:rPr>
                      <w:b/>
                      <w:bCs/>
                      <w:color w:val="000000"/>
                      <w:sz w:val="14"/>
                      <w:szCs w:val="14"/>
                      <w:lang w:val="uk-UA"/>
                    </w:rPr>
                    <w:t xml:space="preserve"> року:</w:t>
                  </w:r>
                  <w:r w:rsidRPr="00B042C1">
                    <w:rPr>
                      <w:color w:val="000000"/>
                      <w:sz w:val="14"/>
                      <w:szCs w:val="14"/>
                      <w:lang w:val="uk-UA"/>
                    </w:rPr>
                    <w:t xml:space="preserve"> час визначається електронною системою автоматично.</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Тендерні пропозиції після закінчення кінцевого строку їх подання не приймаються електронною системою закупівель.</w:t>
                  </w:r>
                </w:p>
              </w:tc>
            </w:tr>
            <w:tr w:rsidR="004C3853" w:rsidRPr="00B042C1" w:rsidTr="00C255FE">
              <w:tc>
                <w:tcPr>
                  <w:tcW w:w="4452" w:type="dxa"/>
                  <w:gridSpan w:val="3"/>
                </w:tcPr>
                <w:p w:rsidR="004C3853" w:rsidRPr="00B042C1" w:rsidRDefault="004C3853" w:rsidP="00DF06B8">
                  <w:pPr>
                    <w:widowControl w:val="0"/>
                    <w:ind w:left="34" w:right="113"/>
                    <w:contextualSpacing/>
                    <w:jc w:val="both"/>
                    <w:rPr>
                      <w:color w:val="000000"/>
                      <w:sz w:val="14"/>
                      <w:szCs w:val="14"/>
                      <w:lang w:val="uk-UA"/>
                    </w:rPr>
                  </w:pPr>
                  <w:r w:rsidRPr="00B042C1">
                    <w:rPr>
                      <w:color w:val="000000"/>
                      <w:sz w:val="14"/>
                      <w:szCs w:val="14"/>
                      <w:lang w:val="uk-UA"/>
                    </w:rPr>
                    <w:t>III розділ. Інструкція з підготовки тендерної пропозиції</w:t>
                  </w:r>
                </w:p>
              </w:tc>
            </w:tr>
            <w:tr w:rsidR="00DF06B8" w:rsidRPr="00B042C1" w:rsidTr="0057384D">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6</w:t>
                  </w:r>
                </w:p>
              </w:tc>
              <w:tc>
                <w:tcPr>
                  <w:tcW w:w="99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Інформація про необхідні технічні, якісні та кількісні характеристики предмета закупівлі, у тому числі відповідну технічну специфікацію ( у разі потреби  - плани, креслення, малюнки чи опис предмета закупівлі)</w:t>
                  </w:r>
                </w:p>
              </w:tc>
              <w:tc>
                <w:tcPr>
                  <w:tcW w:w="322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замовником зазначаються вимоги до предмета закупівлі згідно статті 23 Закону.</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Для підтвердження відповідності медико-технічним, якісним та кількісним характеристикам предмету закупівлі необхідно надати наступні документи: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предмет закупівлі, що вказаний у Тендерній документації, повинен бути зареєстрований в Україні (учасник повинен надати копію (-ї), засвідчену учасником, або оригінал(-и) реєстраційного посвідчення на лікарський засіб МОЗ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копію, засвідчену учасником, або оригінал ліцензії на право займатися відповідною діяльністю згідно чинного законодавства. У разі якщо учасником процедури закупівлі є об’єднання учасників, копія, засвідчена учасником, або оригінал  ліцензії або дозволу надається одним з учасників такого об’єднання учасників;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залишковий термін придатності лікарських засобів на момент постачання повинен складати не менше ніж </w:t>
                  </w:r>
                  <w:r w:rsidRPr="00B042C1">
                    <w:rPr>
                      <w:rFonts w:cs="Times New Roman"/>
                      <w:strike/>
                      <w:sz w:val="14"/>
                      <w:szCs w:val="14"/>
                      <w:lang w:val="uk-UA"/>
                    </w:rPr>
                    <w:t xml:space="preserve">90% </w:t>
                  </w:r>
                  <w:r w:rsidRPr="00B042C1">
                    <w:rPr>
                      <w:rFonts w:cs="Times New Roman"/>
                      <w:sz w:val="14"/>
                      <w:szCs w:val="14"/>
                      <w:lang w:val="uk-UA"/>
                    </w:rPr>
                    <w:t>загального терміну їх зберігання (надати гарантійний лист від імені Учасника);</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постачання здійснюється транспортом та за рахунок Учасника (надати гарантійний лист від імені Учасника); </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Під час навантаження, транспортування, розвантаження та зберігання тощо повинні застосовуватися заходи із захисту довкілля, передбачені законодавством України, про що учасником повинен бути складений відповідний гарантійний лист та наданий у складі пропозиції конкурсних торгів.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Тендерна пропозиція, що не містить передбачених документів та/або не відповідає частини 6 цього розділу цієї документації, вважається такою, що не відповідає умовам цієї </w:t>
                  </w:r>
                  <w:r w:rsidRPr="00B042C1">
                    <w:rPr>
                      <w:rFonts w:cs="Times New Roman"/>
                      <w:sz w:val="14"/>
                      <w:szCs w:val="14"/>
                      <w:lang w:val="uk-UA"/>
                    </w:rPr>
                    <w:lastRenderedPageBreak/>
                    <w:t>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Усі посилання у Додатку 3 до Документації на конкретні  марку чи виробника або </w:t>
                  </w:r>
                  <w:proofErr w:type="spellStart"/>
                  <w:r w:rsidRPr="00B042C1">
                    <w:rPr>
                      <w:rFonts w:cs="Times New Roman"/>
                      <w:sz w:val="14"/>
                      <w:szCs w:val="14"/>
                      <w:lang w:val="uk-UA"/>
                    </w:rPr>
                    <w:t>конкректний</w:t>
                  </w:r>
                  <w:proofErr w:type="spellEnd"/>
                  <w:r w:rsidRPr="00B042C1">
                    <w:rPr>
                      <w:rFonts w:cs="Times New Roman"/>
                      <w:sz w:val="14"/>
                      <w:szCs w:val="14"/>
                      <w:lang w:val="uk-UA"/>
                    </w:rPr>
                    <w:t xml:space="preserve">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tc>
            </w:tr>
          </w:tbl>
          <w:p w:rsidR="009756CB" w:rsidRPr="00B042C1" w:rsidRDefault="009756CB" w:rsidP="00D70688">
            <w:pPr>
              <w:ind w:firstLine="176"/>
              <w:jc w:val="both"/>
              <w:rPr>
                <w:rFonts w:cs="Times New Roman"/>
                <w:sz w:val="14"/>
                <w:szCs w:val="14"/>
                <w:lang w:val="uk-UA"/>
              </w:rPr>
            </w:pPr>
          </w:p>
        </w:tc>
        <w:tc>
          <w:tcPr>
            <w:tcW w:w="2231"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238"/>
              <w:gridCol w:w="992"/>
              <w:gridCol w:w="3222"/>
            </w:tblGrid>
            <w:tr w:rsidR="00DF06B8" w:rsidRPr="00B042C1" w:rsidTr="00571F92">
              <w:tc>
                <w:tcPr>
                  <w:tcW w:w="4452" w:type="dxa"/>
                  <w:gridSpan w:val="3"/>
                </w:tcPr>
                <w:p w:rsidR="00DF06B8" w:rsidRPr="00B042C1" w:rsidRDefault="00DF06B8" w:rsidP="00DF06B8">
                  <w:pPr>
                    <w:jc w:val="both"/>
                    <w:rPr>
                      <w:rFonts w:cs="Times New Roman"/>
                      <w:sz w:val="14"/>
                      <w:szCs w:val="14"/>
                      <w:lang w:val="uk-UA"/>
                    </w:rPr>
                  </w:pPr>
                  <w:r w:rsidRPr="00B042C1">
                    <w:rPr>
                      <w:rFonts w:cs="Times New Roman"/>
                      <w:sz w:val="14"/>
                      <w:szCs w:val="14"/>
                      <w:lang w:val="uk-UA"/>
                    </w:rPr>
                    <w:lastRenderedPageBreak/>
                    <w:t>IV розділ. Подання та розкриття тендерної пропозиції</w:t>
                  </w:r>
                </w:p>
              </w:tc>
            </w:tr>
            <w:tr w:rsidR="00DF06B8" w:rsidRPr="00B042C1" w:rsidTr="003231F0">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1</w:t>
                  </w:r>
                </w:p>
              </w:tc>
              <w:tc>
                <w:tcPr>
                  <w:tcW w:w="992" w:type="dxa"/>
                </w:tcPr>
                <w:p w:rsidR="00DF06B8" w:rsidRPr="00B042C1" w:rsidRDefault="00DF06B8" w:rsidP="00DF06B8">
                  <w:pPr>
                    <w:pStyle w:val="a5"/>
                    <w:widowControl w:val="0"/>
                    <w:spacing w:after="60"/>
                    <w:ind w:right="113"/>
                    <w:contextualSpacing/>
                    <w:jc w:val="both"/>
                    <w:rPr>
                      <w:rFonts w:ascii="Times New Roman" w:hAnsi="Times New Roman"/>
                      <w:color w:val="000000"/>
                      <w:sz w:val="14"/>
                      <w:szCs w:val="14"/>
                      <w:lang w:eastAsia="uk-UA"/>
                    </w:rPr>
                  </w:pPr>
                  <w:r w:rsidRPr="00B042C1">
                    <w:rPr>
                      <w:rStyle w:val="rvts0"/>
                      <w:rFonts w:ascii="Times New Roman" w:hAnsi="Times New Roman"/>
                      <w:color w:val="000000"/>
                      <w:sz w:val="14"/>
                      <w:szCs w:val="14"/>
                    </w:rPr>
                    <w:t>Кінцевий строк подання тендерної пропозиції</w:t>
                  </w:r>
                </w:p>
              </w:tc>
              <w:tc>
                <w:tcPr>
                  <w:tcW w:w="3222" w:type="dxa"/>
                </w:tcPr>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кінцевий строк подання тендерних пропозицій </w:t>
                  </w:r>
                  <w:r w:rsidRPr="00B042C1">
                    <w:rPr>
                      <w:b/>
                      <w:color w:val="000000"/>
                      <w:sz w:val="14"/>
                      <w:szCs w:val="14"/>
                      <w:u w:val="single"/>
                      <w:lang w:val="uk-UA"/>
                    </w:rPr>
                    <w:t>1</w:t>
                  </w:r>
                  <w:r w:rsidR="004C3853" w:rsidRPr="00B042C1">
                    <w:rPr>
                      <w:b/>
                      <w:color w:val="000000"/>
                      <w:sz w:val="14"/>
                      <w:szCs w:val="14"/>
                      <w:u w:val="single"/>
                      <w:lang w:val="uk-UA"/>
                    </w:rPr>
                    <w:t>8</w:t>
                  </w:r>
                  <w:r w:rsidRPr="00B042C1">
                    <w:rPr>
                      <w:b/>
                      <w:color w:val="000000"/>
                      <w:sz w:val="14"/>
                      <w:szCs w:val="14"/>
                      <w:u w:val="single"/>
                      <w:lang w:val="uk-UA"/>
                    </w:rPr>
                    <w:t>.11.</w:t>
                  </w:r>
                  <w:r w:rsidRPr="00B042C1">
                    <w:rPr>
                      <w:b/>
                      <w:bCs/>
                      <w:color w:val="000000"/>
                      <w:sz w:val="14"/>
                      <w:szCs w:val="14"/>
                      <w:u w:val="single"/>
                      <w:lang w:val="uk-UA"/>
                    </w:rPr>
                    <w:t>2023</w:t>
                  </w:r>
                  <w:r w:rsidRPr="00B042C1">
                    <w:rPr>
                      <w:b/>
                      <w:bCs/>
                      <w:color w:val="000000"/>
                      <w:sz w:val="14"/>
                      <w:szCs w:val="14"/>
                      <w:lang w:val="uk-UA"/>
                    </w:rPr>
                    <w:t xml:space="preserve"> року:</w:t>
                  </w:r>
                  <w:r w:rsidRPr="00B042C1">
                    <w:rPr>
                      <w:color w:val="000000"/>
                      <w:sz w:val="14"/>
                      <w:szCs w:val="14"/>
                      <w:lang w:val="uk-UA"/>
                    </w:rPr>
                    <w:t xml:space="preserve"> час визначається електронною системою автоматично.</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F06B8" w:rsidRPr="00B042C1" w:rsidRDefault="00DF06B8" w:rsidP="00DF06B8">
                  <w:pPr>
                    <w:widowControl w:val="0"/>
                    <w:ind w:left="34" w:right="113"/>
                    <w:contextualSpacing/>
                    <w:jc w:val="both"/>
                    <w:rPr>
                      <w:color w:val="000000"/>
                      <w:sz w:val="14"/>
                      <w:szCs w:val="14"/>
                      <w:lang w:val="uk-UA"/>
                    </w:rPr>
                  </w:pPr>
                  <w:r w:rsidRPr="00B042C1">
                    <w:rPr>
                      <w:color w:val="000000"/>
                      <w:sz w:val="14"/>
                      <w:szCs w:val="14"/>
                      <w:lang w:val="uk-UA"/>
                    </w:rPr>
                    <w:t>Тендерні пропозиції після закінчення кінцевого строку їх подання не приймаються електронною системою закупівель.</w:t>
                  </w:r>
                </w:p>
              </w:tc>
            </w:tr>
            <w:tr w:rsidR="004C3853" w:rsidRPr="00B042C1" w:rsidTr="007841B7">
              <w:tc>
                <w:tcPr>
                  <w:tcW w:w="4452" w:type="dxa"/>
                  <w:gridSpan w:val="3"/>
                </w:tcPr>
                <w:p w:rsidR="004C3853" w:rsidRPr="00B042C1" w:rsidRDefault="004C3853" w:rsidP="00DF06B8">
                  <w:pPr>
                    <w:widowControl w:val="0"/>
                    <w:ind w:left="34" w:right="113"/>
                    <w:contextualSpacing/>
                    <w:jc w:val="both"/>
                    <w:rPr>
                      <w:color w:val="000000"/>
                      <w:sz w:val="14"/>
                      <w:szCs w:val="14"/>
                      <w:lang w:val="uk-UA"/>
                    </w:rPr>
                  </w:pPr>
                  <w:r w:rsidRPr="00B042C1">
                    <w:rPr>
                      <w:color w:val="000000"/>
                      <w:sz w:val="14"/>
                      <w:szCs w:val="14"/>
                      <w:lang w:val="uk-UA"/>
                    </w:rPr>
                    <w:t>III розділ. Інструкція з підготовки тендерної пропозиції</w:t>
                  </w:r>
                </w:p>
              </w:tc>
            </w:tr>
            <w:tr w:rsidR="00DF06B8" w:rsidRPr="00B042C1" w:rsidTr="003231F0">
              <w:tc>
                <w:tcPr>
                  <w:tcW w:w="238" w:type="dxa"/>
                </w:tcPr>
                <w:p w:rsidR="00DF06B8" w:rsidRPr="00B042C1" w:rsidRDefault="00DF06B8" w:rsidP="00DF06B8">
                  <w:pPr>
                    <w:widowControl w:val="0"/>
                    <w:spacing w:after="60"/>
                    <w:contextualSpacing/>
                    <w:rPr>
                      <w:color w:val="000000"/>
                      <w:sz w:val="14"/>
                      <w:szCs w:val="14"/>
                      <w:lang w:val="uk-UA" w:eastAsia="uk-UA"/>
                    </w:rPr>
                  </w:pPr>
                  <w:r w:rsidRPr="00B042C1">
                    <w:rPr>
                      <w:color w:val="000000"/>
                      <w:sz w:val="14"/>
                      <w:szCs w:val="14"/>
                      <w:lang w:val="uk-UA" w:eastAsia="uk-UA"/>
                    </w:rPr>
                    <w:t>6</w:t>
                  </w:r>
                </w:p>
              </w:tc>
              <w:tc>
                <w:tcPr>
                  <w:tcW w:w="99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Інформація про необхідні технічні, якісні та кількісні характеристики предмета закупівлі, у тому числі відповідну технічну специфікацію ( у разі потреби  - плани, креслення, малюнки чи опис предмета закупівлі)</w:t>
                  </w:r>
                </w:p>
              </w:tc>
              <w:tc>
                <w:tcPr>
                  <w:tcW w:w="3222" w:type="dxa"/>
                </w:tcPr>
                <w:p w:rsidR="00DF06B8" w:rsidRPr="00B042C1" w:rsidRDefault="00DF06B8" w:rsidP="00DF06B8">
                  <w:pPr>
                    <w:jc w:val="both"/>
                    <w:rPr>
                      <w:rFonts w:cs="Times New Roman"/>
                      <w:sz w:val="14"/>
                      <w:szCs w:val="14"/>
                      <w:lang w:val="uk-UA"/>
                    </w:rPr>
                  </w:pPr>
                  <w:r w:rsidRPr="00B042C1">
                    <w:rPr>
                      <w:rFonts w:cs="Times New Roman"/>
                      <w:sz w:val="14"/>
                      <w:szCs w:val="1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замовником зазначаються вимоги до предмета закупівлі згідно статті 23 Закону.</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Для підтвердження відповідності медико-технічним, якісним та кількісним характеристикам предмету закупівлі необхідно надати наступні документи: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предмет закупівлі, що вказаний у Тендерній документації, повинен бути зареєстрований в Україні (учасник повинен надати копію (-ї), засвідчену учасником, або оригінал(-и) реєстраційного посвідчення на лікарський засіб МОЗ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копію, засвідчену учасником, або оригінал ліцензії на право займатися відповідною діяльністю згідно чинного законодавства. У разі якщо учасником процедури закупівлі є об’єднання учасників, копія, засвідчена учасником, або оригінал  ліцензії або дозволу надається одним з учасників такого об’єднання учасників;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залишковий термін придатності лікарських засобів на момент постачання повинен складати не менше ніж </w:t>
                  </w:r>
                  <w:r w:rsidR="001221E7" w:rsidRPr="002B2F79">
                    <w:rPr>
                      <w:rFonts w:cs="Times New Roman"/>
                      <w:sz w:val="14"/>
                      <w:szCs w:val="14"/>
                      <w:u w:val="single"/>
                      <w:lang w:val="uk-UA"/>
                    </w:rPr>
                    <w:t>50%</w:t>
                  </w:r>
                  <w:r w:rsidRPr="00B042C1">
                    <w:rPr>
                      <w:rFonts w:cs="Times New Roman"/>
                      <w:sz w:val="14"/>
                      <w:szCs w:val="14"/>
                      <w:lang w:val="uk-UA"/>
                    </w:rPr>
                    <w:t xml:space="preserve"> загального терміну їх зберігання (надати гарантійний лист від імені Учасника);</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 постачання здійснюється транспортом та за рахунок Учасника (надати гарантійний лист від імені Учасника); </w:t>
                  </w:r>
                </w:p>
                <w:p w:rsidR="00DF06B8" w:rsidRPr="00B042C1" w:rsidRDefault="00DF06B8" w:rsidP="00DF06B8">
                  <w:pPr>
                    <w:jc w:val="both"/>
                    <w:rPr>
                      <w:rFonts w:cs="Times New Roman"/>
                      <w:sz w:val="14"/>
                      <w:szCs w:val="14"/>
                      <w:lang w:val="uk-UA"/>
                    </w:rPr>
                  </w:pPr>
                  <w:r w:rsidRPr="00B042C1">
                    <w:rPr>
                      <w:rFonts w:cs="Times New Roman"/>
                      <w:sz w:val="14"/>
                      <w:szCs w:val="14"/>
                      <w:lang w:val="uk-UA"/>
                    </w:rPr>
                    <w:t>-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w:t>
                  </w:r>
                </w:p>
                <w:p w:rsidR="00DF06B8" w:rsidRPr="00B042C1" w:rsidRDefault="00DF06B8" w:rsidP="00DF06B8">
                  <w:pPr>
                    <w:jc w:val="both"/>
                    <w:rPr>
                      <w:rFonts w:cs="Times New Roman"/>
                      <w:sz w:val="14"/>
                      <w:szCs w:val="14"/>
                      <w:lang w:val="uk-UA"/>
                    </w:rPr>
                  </w:pPr>
                  <w:r w:rsidRPr="00B042C1">
                    <w:rPr>
                      <w:rFonts w:cs="Times New Roman"/>
                      <w:sz w:val="14"/>
                      <w:szCs w:val="14"/>
                      <w:lang w:val="uk-UA"/>
                    </w:rPr>
                    <w:t>Під час навантаження, транспортування, розвантаження та зберігання тощо повинні застосовуватися заходи із захисту довкілля, передбачені законодавством України, про що учасником повинен бути складений відповідний гарантійний лист та наданий у складі пропозиції конкурсних торгів.</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Тендерна пропозиція, що не містить передбачених документів та/або не відповідає частини 6 цього розділу цієї документації, вважається такою, що не відповідає умовам цієї </w:t>
                  </w:r>
                  <w:r w:rsidRPr="00B042C1">
                    <w:rPr>
                      <w:rFonts w:cs="Times New Roman"/>
                      <w:sz w:val="14"/>
                      <w:szCs w:val="14"/>
                      <w:lang w:val="uk-UA"/>
                    </w:rPr>
                    <w:lastRenderedPageBreak/>
                    <w:t>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p w:rsidR="00DF06B8" w:rsidRPr="00B042C1" w:rsidRDefault="00DF06B8" w:rsidP="00DF06B8">
                  <w:pPr>
                    <w:jc w:val="both"/>
                    <w:rPr>
                      <w:rFonts w:cs="Times New Roman"/>
                      <w:sz w:val="14"/>
                      <w:szCs w:val="14"/>
                      <w:lang w:val="uk-UA"/>
                    </w:rPr>
                  </w:pPr>
                  <w:r w:rsidRPr="00B042C1">
                    <w:rPr>
                      <w:rFonts w:cs="Times New Roman"/>
                      <w:sz w:val="14"/>
                      <w:szCs w:val="14"/>
                      <w:lang w:val="uk-UA"/>
                    </w:rPr>
                    <w:t xml:space="preserve">Усі посилання у Додатку 3 до Документації на конкретні  марку чи виробника або </w:t>
                  </w:r>
                  <w:proofErr w:type="spellStart"/>
                  <w:r w:rsidRPr="00B042C1">
                    <w:rPr>
                      <w:rFonts w:cs="Times New Roman"/>
                      <w:sz w:val="14"/>
                      <w:szCs w:val="14"/>
                      <w:lang w:val="uk-UA"/>
                    </w:rPr>
                    <w:t>конкректний</w:t>
                  </w:r>
                  <w:proofErr w:type="spellEnd"/>
                  <w:r w:rsidRPr="00B042C1">
                    <w:rPr>
                      <w:rFonts w:cs="Times New Roman"/>
                      <w:sz w:val="14"/>
                      <w:szCs w:val="14"/>
                      <w:lang w:val="uk-UA"/>
                    </w:rPr>
                    <w:t xml:space="preserve">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такими, що містять вираз "або еквівалент".</w:t>
                  </w:r>
                </w:p>
              </w:tc>
              <w:bookmarkStart w:id="0" w:name="_GoBack"/>
              <w:bookmarkEnd w:id="0"/>
            </w:tr>
          </w:tbl>
          <w:p w:rsidR="00D70688" w:rsidRPr="00B042C1" w:rsidRDefault="00D70688" w:rsidP="00EF06A1">
            <w:pPr>
              <w:shd w:val="clear" w:color="auto" w:fill="FFFFFF"/>
              <w:tabs>
                <w:tab w:val="left" w:pos="180"/>
              </w:tabs>
              <w:ind w:firstLine="567"/>
              <w:jc w:val="both"/>
              <w:rPr>
                <w:sz w:val="14"/>
                <w:szCs w:val="14"/>
                <w:lang w:val="uk-UA"/>
              </w:rPr>
            </w:pPr>
          </w:p>
        </w:tc>
      </w:tr>
      <w:tr w:rsidR="00A65B8B" w:rsidRPr="00B042C1" w:rsidTr="00B042C1">
        <w:trPr>
          <w:trHeight w:val="334"/>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A65B8B" w:rsidRPr="00B042C1" w:rsidRDefault="00A65B8B" w:rsidP="006D33F4">
            <w:pPr>
              <w:spacing w:before="100" w:beforeAutospacing="1" w:after="100" w:afterAutospacing="1"/>
              <w:rPr>
                <w:rFonts w:cs="Times New Roman"/>
                <w:sz w:val="16"/>
                <w:szCs w:val="18"/>
                <w:lang w:val="uk-UA"/>
              </w:rPr>
            </w:pPr>
            <w:r w:rsidRPr="00B042C1">
              <w:rPr>
                <w:rFonts w:cs="Times New Roman"/>
                <w:sz w:val="16"/>
                <w:szCs w:val="18"/>
                <w:lang w:val="uk-UA"/>
              </w:rPr>
              <w:lastRenderedPageBreak/>
              <w:t>2</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A65B8B" w:rsidRPr="00B042C1" w:rsidRDefault="00A65B8B" w:rsidP="00BD620C">
            <w:pPr>
              <w:spacing w:after="120"/>
              <w:rPr>
                <w:rFonts w:cs="Times New Roman"/>
                <w:sz w:val="16"/>
                <w:szCs w:val="16"/>
                <w:lang w:val="uk-UA"/>
              </w:rPr>
            </w:pPr>
            <w:r w:rsidRPr="00B042C1">
              <w:rPr>
                <w:rFonts w:cs="Times New Roman"/>
                <w:sz w:val="16"/>
                <w:szCs w:val="16"/>
                <w:lang w:val="uk-UA"/>
              </w:rPr>
              <w:t>Додаток 4 до Тендерної документації</w:t>
            </w:r>
          </w:p>
        </w:tc>
        <w:tc>
          <w:tcPr>
            <w:tcW w:w="2164" w:type="pct"/>
            <w:tcBorders>
              <w:top w:val="outset" w:sz="6" w:space="0" w:color="auto"/>
              <w:left w:val="outset" w:sz="6" w:space="0" w:color="auto"/>
              <w:bottom w:val="outset" w:sz="6" w:space="0" w:color="auto"/>
            </w:tcBorders>
            <w:shd w:val="clear" w:color="auto" w:fill="auto"/>
          </w:tcPr>
          <w:p w:rsidR="00A65B8B" w:rsidRPr="00B042C1" w:rsidRDefault="00B042C1" w:rsidP="00B042C1">
            <w:pPr>
              <w:pStyle w:val="a5"/>
              <w:jc w:val="both"/>
              <w:rPr>
                <w:rFonts w:ascii="Times New Roman" w:hAnsi="Times New Roman"/>
                <w:color w:val="000000"/>
                <w:sz w:val="16"/>
                <w:szCs w:val="16"/>
              </w:rPr>
            </w:pPr>
            <w:r w:rsidRPr="00B042C1">
              <w:rPr>
                <w:rFonts w:ascii="Times New Roman" w:hAnsi="Times New Roman"/>
                <w:sz w:val="16"/>
                <w:szCs w:val="16"/>
              </w:rPr>
              <w:t>2.5.</w:t>
            </w:r>
            <w:r w:rsidRPr="00B042C1">
              <w:rPr>
                <w:rFonts w:ascii="Times New Roman" w:hAnsi="Times New Roman"/>
                <w:color w:val="000000"/>
                <w:sz w:val="16"/>
                <w:szCs w:val="16"/>
              </w:rPr>
              <w:t xml:space="preserve"> Термін придатності товару на дату поставки повинен складати  не менше </w:t>
            </w:r>
            <w:r w:rsidRPr="00B042C1">
              <w:rPr>
                <w:rFonts w:ascii="Times New Roman" w:hAnsi="Times New Roman"/>
                <w:strike/>
                <w:color w:val="000000"/>
                <w:sz w:val="16"/>
                <w:szCs w:val="16"/>
              </w:rPr>
              <w:t>90%</w:t>
            </w:r>
            <w:r w:rsidRPr="00B042C1">
              <w:rPr>
                <w:rFonts w:ascii="Times New Roman" w:hAnsi="Times New Roman"/>
                <w:color w:val="000000"/>
                <w:sz w:val="16"/>
                <w:szCs w:val="16"/>
              </w:rPr>
              <w:t xml:space="preserve"> від встановленого інструкцією терміну придатності.</w:t>
            </w:r>
          </w:p>
        </w:tc>
        <w:tc>
          <w:tcPr>
            <w:tcW w:w="2231" w:type="pct"/>
            <w:tcBorders>
              <w:top w:val="outset" w:sz="6" w:space="0" w:color="auto"/>
              <w:left w:val="outset" w:sz="6" w:space="0" w:color="auto"/>
              <w:bottom w:val="outset" w:sz="6" w:space="0" w:color="auto"/>
            </w:tcBorders>
            <w:shd w:val="clear" w:color="auto" w:fill="auto"/>
          </w:tcPr>
          <w:p w:rsidR="00A65B8B" w:rsidRPr="00B042C1" w:rsidRDefault="00B042C1" w:rsidP="001221E7">
            <w:pPr>
              <w:pStyle w:val="a5"/>
              <w:jc w:val="both"/>
              <w:rPr>
                <w:rFonts w:ascii="Times New Roman" w:hAnsi="Times New Roman"/>
                <w:color w:val="000000"/>
                <w:sz w:val="16"/>
                <w:szCs w:val="16"/>
              </w:rPr>
            </w:pPr>
            <w:r w:rsidRPr="00B042C1">
              <w:rPr>
                <w:rFonts w:ascii="Times New Roman" w:hAnsi="Times New Roman"/>
                <w:sz w:val="16"/>
                <w:szCs w:val="16"/>
              </w:rPr>
              <w:t>2.5.</w:t>
            </w:r>
            <w:r w:rsidRPr="00B042C1">
              <w:rPr>
                <w:rFonts w:ascii="Times New Roman" w:hAnsi="Times New Roman"/>
                <w:color w:val="000000"/>
                <w:sz w:val="16"/>
                <w:szCs w:val="16"/>
              </w:rPr>
              <w:t xml:space="preserve"> Термін придатності товару на дату поставки повинен складати  не менше </w:t>
            </w:r>
            <w:r w:rsidR="001221E7" w:rsidRPr="002B2F79">
              <w:rPr>
                <w:rFonts w:ascii="Times New Roman" w:hAnsi="Times New Roman"/>
                <w:color w:val="000000"/>
                <w:sz w:val="16"/>
                <w:szCs w:val="16"/>
                <w:u w:val="single"/>
              </w:rPr>
              <w:t>50%</w:t>
            </w:r>
            <w:r w:rsidR="001221E7">
              <w:rPr>
                <w:rFonts w:ascii="Times New Roman" w:hAnsi="Times New Roman"/>
                <w:color w:val="000000"/>
                <w:sz w:val="16"/>
                <w:szCs w:val="16"/>
              </w:rPr>
              <w:t xml:space="preserve"> </w:t>
            </w:r>
            <w:r w:rsidRPr="00B042C1">
              <w:rPr>
                <w:rFonts w:ascii="Times New Roman" w:hAnsi="Times New Roman"/>
                <w:color w:val="000000"/>
                <w:sz w:val="16"/>
                <w:szCs w:val="16"/>
              </w:rPr>
              <w:t xml:space="preserve"> від встановленого інструкцією терміну придатності.</w:t>
            </w:r>
          </w:p>
        </w:tc>
      </w:tr>
    </w:tbl>
    <w:p w:rsidR="00853161" w:rsidRPr="00B042C1" w:rsidRDefault="00853161" w:rsidP="002D16D5">
      <w:pPr>
        <w:spacing w:after="0"/>
        <w:jc w:val="center"/>
        <w:rPr>
          <w:rFonts w:eastAsia="Times New Roman" w:cs="Times New Roman"/>
          <w:b/>
          <w:bCs/>
          <w:sz w:val="24"/>
          <w:szCs w:val="24"/>
          <w:lang w:val="uk-UA" w:eastAsia="ru-RU"/>
        </w:rPr>
      </w:pPr>
    </w:p>
    <w:p w:rsidR="00707705" w:rsidRPr="00B042C1" w:rsidRDefault="00707705" w:rsidP="002D16D5">
      <w:pPr>
        <w:spacing w:after="0"/>
        <w:jc w:val="center"/>
        <w:rPr>
          <w:rFonts w:eastAsia="Times New Roman" w:cs="Times New Roman"/>
          <w:b/>
          <w:bCs/>
          <w:sz w:val="24"/>
          <w:szCs w:val="24"/>
          <w:lang w:val="uk-UA" w:eastAsia="ru-RU"/>
        </w:rPr>
      </w:pPr>
    </w:p>
    <w:p w:rsidR="002D16D5" w:rsidRPr="00B042C1" w:rsidRDefault="002D16D5" w:rsidP="009E4448">
      <w:pPr>
        <w:tabs>
          <w:tab w:val="left" w:pos="7371"/>
        </w:tabs>
        <w:spacing w:after="0"/>
        <w:jc w:val="center"/>
        <w:rPr>
          <w:rFonts w:eastAsia="Times New Roman" w:cs="Times New Roman"/>
          <w:i/>
          <w:iCs/>
          <w:sz w:val="24"/>
          <w:szCs w:val="24"/>
          <w:lang w:val="uk-UA" w:eastAsia="ru-RU"/>
        </w:rPr>
      </w:pPr>
      <w:r w:rsidRPr="00B042C1">
        <w:rPr>
          <w:rFonts w:eastAsia="Times New Roman" w:cs="Times New Roman"/>
          <w:b/>
          <w:bCs/>
          <w:sz w:val="24"/>
          <w:szCs w:val="24"/>
          <w:lang w:val="uk-UA" w:eastAsia="ru-RU"/>
        </w:rPr>
        <w:t>Уповноважена особа</w:t>
      </w:r>
      <w:r w:rsidR="009E4448" w:rsidRPr="00B042C1">
        <w:rPr>
          <w:rFonts w:eastAsia="Times New Roman" w:cs="Times New Roman"/>
          <w:b/>
          <w:bCs/>
          <w:sz w:val="24"/>
          <w:szCs w:val="24"/>
          <w:lang w:val="uk-UA" w:eastAsia="ru-RU"/>
        </w:rPr>
        <w:tab/>
      </w:r>
      <w:r w:rsidR="009E4448" w:rsidRPr="00B042C1">
        <w:rPr>
          <w:b/>
          <w:bCs/>
          <w:sz w:val="24"/>
          <w:lang w:val="uk-UA" w:eastAsia="ar-SA"/>
        </w:rPr>
        <w:t>Ірина КЕДИК</w:t>
      </w:r>
    </w:p>
    <w:sectPr w:rsidR="002D16D5" w:rsidRPr="00B042C1" w:rsidSect="00B816AD">
      <w:pgSz w:w="11906" w:h="16838" w:code="9"/>
      <w:pgMar w:top="426"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732F"/>
    <w:multiLevelType w:val="hybridMultilevel"/>
    <w:tmpl w:val="13029B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C4464"/>
    <w:rsid w:val="00070409"/>
    <w:rsid w:val="0008391B"/>
    <w:rsid w:val="00085EBC"/>
    <w:rsid w:val="000E1AAF"/>
    <w:rsid w:val="000E5D5D"/>
    <w:rsid w:val="000F717E"/>
    <w:rsid w:val="001045A8"/>
    <w:rsid w:val="001221E7"/>
    <w:rsid w:val="001B07DA"/>
    <w:rsid w:val="001E30EB"/>
    <w:rsid w:val="001F1AC4"/>
    <w:rsid w:val="00281C52"/>
    <w:rsid w:val="002A40A4"/>
    <w:rsid w:val="002B2F79"/>
    <w:rsid w:val="002D16D5"/>
    <w:rsid w:val="00323FFB"/>
    <w:rsid w:val="00336689"/>
    <w:rsid w:val="003401DA"/>
    <w:rsid w:val="003D3B90"/>
    <w:rsid w:val="003D4753"/>
    <w:rsid w:val="00407A96"/>
    <w:rsid w:val="004135F6"/>
    <w:rsid w:val="00430FCF"/>
    <w:rsid w:val="00434A08"/>
    <w:rsid w:val="0045726F"/>
    <w:rsid w:val="0048536A"/>
    <w:rsid w:val="004C3853"/>
    <w:rsid w:val="005048D4"/>
    <w:rsid w:val="0057384D"/>
    <w:rsid w:val="005A57DF"/>
    <w:rsid w:val="005E6C83"/>
    <w:rsid w:val="0067614D"/>
    <w:rsid w:val="00683539"/>
    <w:rsid w:val="00684E4C"/>
    <w:rsid w:val="006B4DDA"/>
    <w:rsid w:val="006C0B77"/>
    <w:rsid w:val="006E6327"/>
    <w:rsid w:val="006F2AD7"/>
    <w:rsid w:val="006F791A"/>
    <w:rsid w:val="00707705"/>
    <w:rsid w:val="007408A6"/>
    <w:rsid w:val="00762668"/>
    <w:rsid w:val="00763D6C"/>
    <w:rsid w:val="0077271E"/>
    <w:rsid w:val="007767B2"/>
    <w:rsid w:val="00804F9D"/>
    <w:rsid w:val="008242FF"/>
    <w:rsid w:val="00835654"/>
    <w:rsid w:val="00853161"/>
    <w:rsid w:val="00870751"/>
    <w:rsid w:val="008A1DD8"/>
    <w:rsid w:val="00922C48"/>
    <w:rsid w:val="00922FF0"/>
    <w:rsid w:val="009756CB"/>
    <w:rsid w:val="009A2B08"/>
    <w:rsid w:val="009E4448"/>
    <w:rsid w:val="009E78B7"/>
    <w:rsid w:val="00A207D6"/>
    <w:rsid w:val="00A65B8B"/>
    <w:rsid w:val="00AB6959"/>
    <w:rsid w:val="00AF4121"/>
    <w:rsid w:val="00B042C1"/>
    <w:rsid w:val="00B26BD7"/>
    <w:rsid w:val="00B3265F"/>
    <w:rsid w:val="00B504FC"/>
    <w:rsid w:val="00B816AD"/>
    <w:rsid w:val="00B8606A"/>
    <w:rsid w:val="00B915B7"/>
    <w:rsid w:val="00BA7B05"/>
    <w:rsid w:val="00BB3A45"/>
    <w:rsid w:val="00BB6BD5"/>
    <w:rsid w:val="00BC44A2"/>
    <w:rsid w:val="00BC6A3C"/>
    <w:rsid w:val="00BD13CA"/>
    <w:rsid w:val="00BD4A95"/>
    <w:rsid w:val="00BD620C"/>
    <w:rsid w:val="00BD63FA"/>
    <w:rsid w:val="00C27ACE"/>
    <w:rsid w:val="00C354E2"/>
    <w:rsid w:val="00C66732"/>
    <w:rsid w:val="00CC4464"/>
    <w:rsid w:val="00CD3769"/>
    <w:rsid w:val="00CF4730"/>
    <w:rsid w:val="00D4630D"/>
    <w:rsid w:val="00D70688"/>
    <w:rsid w:val="00DA2438"/>
    <w:rsid w:val="00DA49F3"/>
    <w:rsid w:val="00DF06B8"/>
    <w:rsid w:val="00DF620B"/>
    <w:rsid w:val="00E03B3E"/>
    <w:rsid w:val="00E12C98"/>
    <w:rsid w:val="00E60A40"/>
    <w:rsid w:val="00E955FE"/>
    <w:rsid w:val="00E95B21"/>
    <w:rsid w:val="00EA59DF"/>
    <w:rsid w:val="00EE4070"/>
    <w:rsid w:val="00EF06A1"/>
    <w:rsid w:val="00F10889"/>
    <w:rsid w:val="00F12C76"/>
    <w:rsid w:val="00F3116F"/>
    <w:rsid w:val="00F51595"/>
    <w:rsid w:val="00F56464"/>
    <w:rsid w:val="00F57422"/>
    <w:rsid w:val="00F95F1D"/>
    <w:rsid w:val="00FD123E"/>
    <w:rsid w:val="00FD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4223-67A9-4C4F-8E6E-2A7105C7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A7B05"/>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nhideWhenUsed/>
    <w:qFormat/>
    <w:rsid w:val="00BA7B05"/>
    <w:pPr>
      <w:keepNext/>
      <w:spacing w:before="240" w:after="60" w:line="276" w:lineRule="auto"/>
      <w:outlineLvl w:val="2"/>
    </w:pPr>
    <w:rPr>
      <w:rFonts w:ascii="Calibri Light" w:eastAsia="Times New Roman" w:hAnsi="Calibri Light" w:cs="Times New Roman"/>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BA7B05"/>
    <w:rPr>
      <w:rFonts w:ascii="Calibri Light" w:eastAsia="Times New Roman" w:hAnsi="Calibri Light" w:cs="Times New Roman"/>
      <w:b/>
      <w:bCs/>
      <w:color w:val="000000"/>
      <w:sz w:val="26"/>
      <w:szCs w:val="26"/>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BA7B05"/>
    <w:pPr>
      <w:spacing w:before="100" w:beforeAutospacing="1" w:after="100" w:afterAutospacing="1"/>
    </w:pPr>
    <w:rPr>
      <w:rFonts w:eastAsia="Times New Roman" w:cs="Times New Roman"/>
      <w:sz w:val="24"/>
      <w:szCs w:val="24"/>
      <w:lang w:eastAsia="ru-RU"/>
    </w:rPr>
  </w:style>
  <w:style w:type="paragraph" w:styleId="a5">
    <w:name w:val="No Spacing"/>
    <w:link w:val="a6"/>
    <w:uiPriority w:val="99"/>
    <w:qFormat/>
    <w:rsid w:val="00BA7B05"/>
    <w:pPr>
      <w:spacing w:after="0" w:line="240" w:lineRule="auto"/>
    </w:pPr>
    <w:rPr>
      <w:rFonts w:ascii="Calibri" w:eastAsia="Times New Roman" w:hAnsi="Calibri" w:cs="Times New Roman"/>
      <w:lang w:val="uk-UA"/>
    </w:rPr>
  </w:style>
  <w:style w:type="character" w:customStyle="1" w:styleId="a6">
    <w:name w:val="Без интервала Знак"/>
    <w:link w:val="a5"/>
    <w:uiPriority w:val="1"/>
    <w:locked/>
    <w:rsid w:val="00BA7B05"/>
    <w:rPr>
      <w:rFonts w:ascii="Calibri" w:eastAsia="Times New Roman" w:hAnsi="Calibri" w:cs="Times New Roman"/>
      <w:lang w:val="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A7B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8A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7408A6"/>
    <w:rPr>
      <w:rFonts w:ascii="Segoe UI" w:hAnsi="Segoe UI" w:cs="Segoe UI"/>
      <w:sz w:val="18"/>
      <w:szCs w:val="18"/>
    </w:rPr>
  </w:style>
  <w:style w:type="paragraph" w:styleId="a9">
    <w:name w:val="List Paragraph"/>
    <w:aliases w:val="название табл/рис,заголовок 1.1"/>
    <w:basedOn w:val="a"/>
    <w:link w:val="aa"/>
    <w:uiPriority w:val="34"/>
    <w:qFormat/>
    <w:rsid w:val="003D3B90"/>
    <w:pPr>
      <w:widowControl w:val="0"/>
      <w:autoSpaceDE w:val="0"/>
      <w:autoSpaceDN w:val="0"/>
      <w:spacing w:after="0"/>
      <w:ind w:left="676"/>
      <w:jc w:val="both"/>
    </w:pPr>
    <w:rPr>
      <w:rFonts w:eastAsia="Times New Roman" w:cs="Times New Roman"/>
      <w:sz w:val="22"/>
      <w:lang w:val="uk-UA"/>
    </w:rPr>
  </w:style>
  <w:style w:type="table" w:styleId="ab">
    <w:name w:val="Table Grid"/>
    <w:basedOn w:val="a1"/>
    <w:uiPriority w:val="39"/>
    <w:rsid w:val="00BB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DA49F3"/>
    <w:pPr>
      <w:widowControl w:val="0"/>
      <w:autoSpaceDE w:val="0"/>
      <w:autoSpaceDN w:val="0"/>
      <w:spacing w:after="0"/>
      <w:ind w:left="141"/>
    </w:pPr>
    <w:rPr>
      <w:rFonts w:eastAsia="Times New Roman" w:cs="Times New Roman"/>
      <w:sz w:val="22"/>
      <w:lang w:val="uk-UA"/>
    </w:rPr>
  </w:style>
  <w:style w:type="character" w:styleId="ac">
    <w:name w:val="Hyperlink"/>
    <w:uiPriority w:val="99"/>
    <w:unhideWhenUsed/>
    <w:rsid w:val="00F51595"/>
    <w:rPr>
      <w:color w:val="0000FF"/>
      <w:u w:val="single"/>
    </w:rPr>
  </w:style>
  <w:style w:type="character" w:customStyle="1" w:styleId="aa">
    <w:name w:val="Абзац списка Знак"/>
    <w:aliases w:val="название табл/рис Знак,заголовок 1.1 Знак"/>
    <w:link w:val="a9"/>
    <w:uiPriority w:val="34"/>
    <w:rsid w:val="00F10889"/>
    <w:rPr>
      <w:rFonts w:ascii="Times New Roman" w:eastAsia="Times New Roman" w:hAnsi="Times New Roman" w:cs="Times New Roman"/>
      <w:lang w:val="uk-UA"/>
    </w:rPr>
  </w:style>
  <w:style w:type="character" w:customStyle="1" w:styleId="rvts0">
    <w:name w:val="rvts0"/>
    <w:uiPriority w:val="99"/>
    <w:rsid w:val="00DF06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00C5-3511-448C-8DE8-47D03700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2021-12-08T11:03:00Z</cp:lastPrinted>
  <dcterms:created xsi:type="dcterms:W3CDTF">2021-12-08T10:59:00Z</dcterms:created>
  <dcterms:modified xsi:type="dcterms:W3CDTF">2023-11-13T14:27:00Z</dcterms:modified>
</cp:coreProperties>
</file>