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88" w:rsidRDefault="00244552" w:rsidP="00217B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</w:t>
      </w:r>
      <w:r w:rsidR="000D4D88" w:rsidRPr="003B60D5">
        <w:rPr>
          <w:rFonts w:ascii="Times New Roman" w:eastAsia="Times New Roman" w:hAnsi="Times New Roman" w:cs="Times New Roman"/>
          <w:b/>
          <w:sz w:val="24"/>
          <w:szCs w:val="24"/>
        </w:rPr>
        <w:t>кт договору</w:t>
      </w:r>
    </w:p>
    <w:p w:rsidR="00217B7B" w:rsidRPr="00217B7B" w:rsidRDefault="00217B7B" w:rsidP="00217B7B">
      <w:pPr>
        <w:tabs>
          <w:tab w:val="left" w:pos="14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Додаток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до тендерної документації</w:t>
      </w: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217B7B" w:rsidRPr="00217B7B" w:rsidRDefault="00217B7B" w:rsidP="0021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>про закупівлю  за</w:t>
      </w:r>
      <w:r w:rsidRPr="00217B7B">
        <w:rPr>
          <w:rFonts w:ascii="Times New Roman" w:eastAsia="Times New Roman" w:hAnsi="Times New Roman" w:cs="Times New Roman"/>
          <w:b/>
          <w:sz w:val="56"/>
          <w:szCs w:val="56"/>
          <w:lang w:eastAsia="zh-CN"/>
        </w:rPr>
        <w:t xml:space="preserve">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код ДК 021:2015 -</w:t>
      </w:r>
      <w:r w:rsidR="00747C30" w:rsidRPr="00747C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09133000-0 - Нафтовий газ скраплений</w:t>
      </w:r>
      <w:r w:rsidR="00747C30" w:rsidRPr="00747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(Газ нафтовий скраплений)</w:t>
      </w:r>
    </w:p>
    <w:p w:rsidR="00217B7B" w:rsidRPr="00217B7B" w:rsidRDefault="00217B7B" w:rsidP="0021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                                                           «____» _________ 2022р.</w:t>
      </w: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7B7B" w:rsidRPr="00217B7B" w:rsidRDefault="00217B7B" w:rsidP="00217B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 CYR" w:eastAsia="Times New Roman" w:hAnsi="Times New Roman CYR" w:cs="Times New Roman"/>
          <w:sz w:val="24"/>
          <w:szCs w:val="24"/>
        </w:rPr>
      </w:pPr>
      <w:r w:rsidRPr="00217B7B">
        <w:rPr>
          <w:rFonts w:ascii="Times New Roman CYR" w:eastAsia="Times New Roman" w:hAnsi="Times New Roman CYR" w:cs="Times New Roman"/>
          <w:sz w:val="24"/>
          <w:szCs w:val="24"/>
        </w:rPr>
        <w:t xml:space="preserve">                    </w:t>
      </w:r>
    </w:p>
    <w:p w:rsidR="00217B7B" w:rsidRPr="00217B7B" w:rsidRDefault="00217B7B" w:rsidP="00217B7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 CYR" w:eastAsia="Times New Roman" w:hAnsi="Times New Roman CYR" w:cs="Times New Roman"/>
          <w:bCs/>
          <w:i/>
          <w:iCs/>
          <w:sz w:val="24"/>
          <w:szCs w:val="24"/>
          <w:lang w:val="ru-RU"/>
        </w:rPr>
      </w:pPr>
      <w:r w:rsidRPr="00217B7B">
        <w:rPr>
          <w:rFonts w:ascii="Times New Roman CYR" w:eastAsia="Times New Roman" w:hAnsi="Times New Roman CYR" w:cs="Times New Roman"/>
          <w:sz w:val="24"/>
          <w:szCs w:val="24"/>
        </w:rPr>
        <w:t xml:space="preserve"> Комунальне некомерційне підприємство « </w:t>
      </w:r>
      <w:proofErr w:type="spellStart"/>
      <w:r w:rsidRPr="00217B7B">
        <w:rPr>
          <w:rFonts w:ascii="Times New Roman CYR" w:eastAsia="Times New Roman" w:hAnsi="Times New Roman CYR" w:cs="Times New Roman"/>
          <w:sz w:val="24"/>
          <w:szCs w:val="24"/>
        </w:rPr>
        <w:t>Старокостянтинівський</w:t>
      </w:r>
      <w:proofErr w:type="spellEnd"/>
      <w:r w:rsidRPr="00217B7B">
        <w:rPr>
          <w:rFonts w:ascii="Times New Roman CYR" w:eastAsia="Times New Roman" w:hAnsi="Times New Roman CYR" w:cs="Times New Roman"/>
          <w:sz w:val="24"/>
          <w:szCs w:val="24"/>
        </w:rPr>
        <w:t xml:space="preserve"> центр первинної медико-санітарної допомоги» </w:t>
      </w:r>
      <w:proofErr w:type="spellStart"/>
      <w:r w:rsidRPr="00217B7B">
        <w:rPr>
          <w:rFonts w:ascii="Times New Roman CYR" w:eastAsia="Times New Roman" w:hAnsi="Times New Roman CYR" w:cs="Times New Roman"/>
          <w:sz w:val="24"/>
          <w:szCs w:val="24"/>
        </w:rPr>
        <w:t>Старокостянтинівської</w:t>
      </w:r>
      <w:proofErr w:type="spellEnd"/>
      <w:r w:rsidRPr="00217B7B">
        <w:rPr>
          <w:rFonts w:ascii="Times New Roman CYR" w:eastAsia="Times New Roman" w:hAnsi="Times New Roman CYR" w:cs="Times New Roman"/>
          <w:sz w:val="24"/>
          <w:szCs w:val="24"/>
        </w:rPr>
        <w:t xml:space="preserve"> міської  ради, Хмельницького району  Хмельницької області   в особі  директора  Швеця Анатолія Івановича , що діє на підставі Статуту іменоване надалі </w:t>
      </w:r>
      <w:r w:rsidRPr="00217B7B">
        <w:rPr>
          <w:rFonts w:ascii="Times New Roman CYR" w:eastAsia="Times New Roman" w:hAnsi="Times New Roman CYR" w:cs="Times New Roman"/>
          <w:bCs/>
          <w:sz w:val="24"/>
          <w:szCs w:val="24"/>
        </w:rPr>
        <w:t>“Покупець”</w:t>
      </w:r>
      <w:r w:rsidRPr="00217B7B">
        <w:rPr>
          <w:rFonts w:ascii="Times New Roman CYR" w:eastAsia="Times New Roman" w:hAnsi="Times New Roman CYR" w:cs="Times New Roman"/>
          <w:sz w:val="24"/>
          <w:szCs w:val="24"/>
        </w:rPr>
        <w:t>, з однієї сторони, і ____________________________________________________________________________________________________________</w:t>
      </w:r>
      <w:r w:rsidRPr="00217B7B">
        <w:rPr>
          <w:rFonts w:ascii="Times New Roman CYR" w:eastAsia="Times New Roman" w:hAnsi="Times New Roman CYR" w:cs="Times New Roman"/>
          <w:sz w:val="24"/>
          <w:szCs w:val="24"/>
        </w:rPr>
        <w:br/>
        <w:t xml:space="preserve">_______________________________________________________ , в особі _____________________________________, що діє на підставі _____________________________ поіменоване надалі “Постачальник”, з іншої сторони, разом іменовані надалі сторони, за результатами відкритих торгів уклали договір </w:t>
      </w:r>
      <w:r w:rsidRPr="00217B7B">
        <w:rPr>
          <w:rFonts w:ascii="Times New Roman CYR" w:eastAsia="Times New Roman" w:hAnsi="Times New Roman CYR" w:cs="Times New Roman"/>
          <w:b/>
          <w:bCs/>
          <w:sz w:val="24"/>
          <w:szCs w:val="24"/>
        </w:rPr>
        <w:t xml:space="preserve">                                  </w:t>
      </w:r>
      <w:r w:rsidRPr="00217B7B">
        <w:rPr>
          <w:rFonts w:ascii="Times New Roman CYR" w:eastAsia="Times New Roman" w:hAnsi="Times New Roman CYR" w:cs="Times New Roman"/>
          <w:bCs/>
          <w:sz w:val="24"/>
          <w:szCs w:val="24"/>
        </w:rPr>
        <w:t>про закупівлю  за</w:t>
      </w:r>
      <w:r w:rsidRPr="00217B7B">
        <w:rPr>
          <w:rFonts w:ascii="Times New Roman CYR" w:eastAsia="Times New Roman" w:hAnsi="Times New Roman CYR" w:cs="Times New Roman"/>
          <w:b/>
          <w:sz w:val="24"/>
          <w:szCs w:val="24"/>
        </w:rPr>
        <w:t xml:space="preserve"> </w:t>
      </w:r>
      <w:r w:rsidRPr="00217B7B">
        <w:rPr>
          <w:rFonts w:ascii="Times New Roman CYR" w:eastAsia="Times New Roman" w:hAnsi="Times New Roman CYR" w:cs="Times New Roman"/>
          <w:b/>
          <w:bCs/>
          <w:sz w:val="24"/>
          <w:szCs w:val="24"/>
        </w:rPr>
        <w:t xml:space="preserve">код ДК 021:2015 </w:t>
      </w:r>
      <w:r w:rsidR="00FD062B" w:rsidRPr="00FD062B">
        <w:rPr>
          <w:rFonts w:ascii="Times New Roman CYR" w:eastAsia="Times New Roman" w:hAnsi="Times New Roman CYR" w:cs="Times New Roman"/>
          <w:b/>
          <w:bCs/>
          <w:i/>
          <w:sz w:val="24"/>
          <w:szCs w:val="24"/>
        </w:rPr>
        <w:t>09133000-0 - Нафтовий газ скраплений</w:t>
      </w:r>
      <w:r w:rsidRPr="00217B7B">
        <w:rPr>
          <w:rFonts w:ascii="Times New Roman CYR" w:eastAsia="Times New Roman" w:hAnsi="Times New Roman CYR" w:cs="Times New Roman"/>
          <w:b/>
          <w:bCs/>
          <w:sz w:val="24"/>
          <w:szCs w:val="24"/>
        </w:rPr>
        <w:t xml:space="preserve"> (Газ нафтовий скраплений)</w:t>
      </w:r>
      <w:r w:rsidRPr="00217B7B">
        <w:rPr>
          <w:rFonts w:ascii="Times New Roman CYR" w:eastAsia="Times New Roman" w:hAnsi="Times New Roman CYR" w:cs="Times New Roman"/>
          <w:sz w:val="24"/>
          <w:szCs w:val="24"/>
        </w:rPr>
        <w:t>, надалі — договір,  про наступне: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 ПРЕДМЕТ ДОГОВОРУ</w:t>
      </w:r>
    </w:p>
    <w:p w:rsidR="00217B7B" w:rsidRPr="00217B7B" w:rsidRDefault="00217B7B" w:rsidP="0021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 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В порядку та на умовах, визначених цим Договором Постачальник  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у 2022 році передати Покупцеві у власність -</w:t>
      </w:r>
      <w:r w:rsidRPr="00217B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про закупівлю  за</w:t>
      </w:r>
      <w:r w:rsidRPr="00217B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код ДК 021:2015 -</w:t>
      </w:r>
      <w:r w:rsidR="00FD062B" w:rsidRPr="00FD062B">
        <w:rPr>
          <w:rFonts w:ascii="Times New Roman" w:hAnsi="Times New Roman" w:cs="Times New Roman"/>
          <w:b/>
          <w:i/>
          <w:sz w:val="28"/>
          <w:szCs w:val="28"/>
        </w:rPr>
        <w:t>09133000-0 - Нафтовий газ скраплений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(Газ нафтовий скраплений) 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, надалі — Товар, зазначений в п.1.2, а  Покупець  прийняти та оплатити вказаний  товар. Відпуск Товару з АЗС здійснюється на підставі бланків дозволів (талонів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/карток) на отримання товару, котрі є бланками суворого обліку та передбачені пунктом 3, Інструкції про порядок приймання,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транспортування,зберігання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, відпуску та обліку нафти і нафтопродуктів на підприємствах і організаціях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України»,яка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затверджена наказом Міністерства палива та енергетики України від 20.05.2008 №281/171/578/155. Постачальник гарантує отримання Покупцем дизельного палива на АЗС, по закуплених у Постачальника  бланках дозволів (талонів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/карток), по всій території України, у кількості  та по ціні, що вказана  у специфікації (додаток 1).</w:t>
      </w:r>
    </w:p>
    <w:p w:rsidR="00217B7B" w:rsidRPr="00217B7B" w:rsidRDefault="00217B7B" w:rsidP="00217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1.2. Найменування (номенклатура, асортимент) товару:  -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Газ нафтовий скраплений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10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л 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1.3. Обсяги закупівлі товару можуть бути зменшені в залежності від реального фінансування видатків Покупця.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1.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Товар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належить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праві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вільний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третіх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арешт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заставу). Право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Товар та весь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ризик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включаючи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випадкову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загибель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пошкодження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переходить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момент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Покупцем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ЯКІСТЬ ТОВАРУ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2.1. Постачальник повинен поставити Покупцю товар, якість якого відповідає технічним умовам (ТУ) і встановленим державним стандартам (ГОСТ) чинним на території України для даного виду Товару, та мати відповідний сертифікат якості .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Покупець здійснює приймання Товару за кількістю та якістю відповідно до Інструкції «Про порядок приймання, </w:t>
      </w:r>
      <w:proofErr w:type="spellStart"/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>транспортування,зберігання</w:t>
      </w:r>
      <w:proofErr w:type="spellEnd"/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відпуску та обліку нафти і нафтопродуктів на підприємствах і в організаціях України», затвердженої спільним наказом Міністерства палива та енергетики, Міністерства економіки, Міністерства зв'язку України, </w:t>
      </w:r>
      <w:proofErr w:type="spellStart"/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>Держкомстандартом</w:t>
      </w:r>
      <w:proofErr w:type="spellEnd"/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№281/171/578/155 від 20.05.2008р., з Інструкцією про контроль якості нафти і нафтопродуктів на підприємствах і організаціях України, затвердженої спільним наказом Міністерства палива та енергетики №271/121 від 04.06.2007р., відповідно з чинним законодавством України, а також з умовами цього Договору і Додатками до нього.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3. ЦІНА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ДОГОВОРУ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Сума цього Договору становить _____________________________грн. _____________коп.(______________гривень _________копійок), з ПДВ _____________________грн.__________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коп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.), з ПДВ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proofErr w:type="gram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gram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цього Договору не повинна відрізнятись від ціни пропозиції, в тому числі за одиницю товару. Ціна цього Договору  може  бути зменшена за взаємною згодою Сторін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Зазначені зміни оформляються додатковою угодою до Договору. 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3.3. Ціна включає вартість поставки та включає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податки,збори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та інші обов'язкові платежі до бюджетів, передбачені чинним законодавством України.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ind w:left="-14" w:firstLine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ind w:left="-14" w:firstLine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ПОРЯДОК ЗДІЙСНЕННЯ ОПЛАТИ </w:t>
      </w:r>
    </w:p>
    <w:p w:rsidR="00217B7B" w:rsidRPr="00217B7B" w:rsidRDefault="00217B7B" w:rsidP="00217B7B">
      <w:pPr>
        <w:spacing w:after="0" w:line="240" w:lineRule="auto"/>
        <w:ind w:left="-14" w:firstLine="14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4.1.  У відповідності до вимог ст..49 Бюджетного кодексу України, Покупець протягом семи робочих днів після отримання бланків дозволів (талонів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/ картки) на отримання товару від Постачальника та рахунка на їх оплату і</w:t>
      </w:r>
      <w:r w:rsidR="00FD062B">
        <w:rPr>
          <w:rFonts w:ascii="Times New Roman" w:eastAsia="Times New Roman" w:hAnsi="Times New Roman" w:cs="Times New Roman"/>
          <w:sz w:val="24"/>
          <w:szCs w:val="24"/>
        </w:rPr>
        <w:t xml:space="preserve"> накладної .</w:t>
      </w:r>
    </w:p>
    <w:p w:rsidR="00217B7B" w:rsidRPr="006F6A40" w:rsidRDefault="00217B7B" w:rsidP="006F6A40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="006F6A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. Оплата Товару здійснюється Покупцем в повному обсязі, у безготівкову порядку, шляхом перерахунку коштів на поточний рахунок Постачальника, протягом семи банківських днів.</w:t>
      </w: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ПОСТАВКА ТОВАРІВ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5.1.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Передача бланків дозволів (талони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/ картки) на отримання товару здійснюються уповноваженим представником Постачальника уповноваженому представнику Покупця за адресою: </w:t>
      </w:r>
      <w:proofErr w:type="gramStart"/>
      <w:r w:rsidRPr="00217B7B">
        <w:rPr>
          <w:rFonts w:ascii="Times New Roman" w:eastAsia="Times New Roman" w:hAnsi="Times New Roman" w:cs="Times New Roman"/>
          <w:sz w:val="24"/>
          <w:szCs w:val="24"/>
        </w:rPr>
        <w:t>вул..</w:t>
      </w:r>
      <w:proofErr w:type="gram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Пушкіна 47,  м. Старокостянтинів,  Хмельницької область, 31100.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5.2. Строк  ( термін) поставки товарі</w:t>
      </w:r>
      <w:bookmarkStart w:id="0" w:name="_GoBack"/>
      <w:bookmarkEnd w:id="0"/>
      <w:r w:rsidRPr="00217B7B">
        <w:rPr>
          <w:rFonts w:ascii="Times New Roman" w:eastAsia="Times New Roman" w:hAnsi="Times New Roman" w:cs="Times New Roman"/>
          <w:sz w:val="24"/>
          <w:szCs w:val="24"/>
        </w:rPr>
        <w:t>в: протягом 202</w:t>
      </w:r>
      <w:r w:rsidR="00FD0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5.3. Талони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/картки) повинні бути номіналом 10,15,20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. та діяти на всій території України.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5.4. Термін дії талонів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/карток) повинен становити не менше одного року з дня отримання  та підписання акту їх приймання – передавання.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5.5. У разі зміни зовнішньої форми Талонів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/ карток) Постачальник здійснює обмін Талонів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/карток)  в тій самій кількості, того ж номіналу та в асортименті без додаткової оплати Покупцем за місцем їх використання на інші Талони (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скретч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/картки).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5.6. Місце відпуску Товару – на належним чином обладнаній АЗС Постачальника у м Старокостянтинів .    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5.7. Замовлення товару залежить від помісячних асигнувань протягом 202</w:t>
      </w:r>
      <w:r w:rsidR="00FD062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року 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sz w:val="24"/>
          <w:szCs w:val="24"/>
        </w:rPr>
        <w:t>6.ВІДПОВІДАЛЬНІСТЬ СТОРІН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6.1.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неналежне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тобто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умов,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змістом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17B7B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Покупцем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строків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пов'язаних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розрахунками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Покупець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сплачує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пеню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подвійної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ставки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діяла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 Товару,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сплачує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пеню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подвійної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облікової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ставки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банку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діяла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необґрунтованої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Товару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такому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Покупець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вимогу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сплатити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неустойку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0,1%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поставки Товару.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Сплата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стороною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визначених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штрафних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санкцій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(неустойки, штрафу,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звільняє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відшкодувати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вимогою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збитки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нанесені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порушеннями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відшкодування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збитків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звільняє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сплатити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іншій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штрафні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санкції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обсязі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ТЕРМІН ДІЇ ДОГОВОРУ</w:t>
      </w:r>
    </w:p>
    <w:p w:rsidR="00217B7B" w:rsidRPr="00217B7B" w:rsidRDefault="00217B7B" w:rsidP="00217B7B">
      <w:pPr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вступає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силу з дня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«31»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року, але до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взаєморозрахунків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до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Закінчення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звільняє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договором,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мали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місце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договору.</w:t>
      </w:r>
    </w:p>
    <w:p w:rsidR="00217B7B" w:rsidRPr="00217B7B" w:rsidRDefault="00217B7B" w:rsidP="00217B7B">
      <w:pPr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розірваний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ї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згодою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сторона, яка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виступає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ініціатором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договору, повинна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сторону 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свій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намір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пізніше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ніж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30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ind w:left="-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8. ФОРС-МАЖОР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часткове або повне невиконання прийнятих на себе зобов'язань за цим договором, якщо таке невиконання стало наслідком обставин непереборної сили, а саме: пожежі, стихійного лиха, війни, блокади, законних або незаконних дій Уряду України (постанов, розпоряджень і т. д., що обмежують чинності цим договором) або інших, що не залежать від волі Сторін обставин, якщо такі обставини перешкоджали виконанню цього Договору.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припиняється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діяти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тривати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більше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одного календарного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місяця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погодити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подальше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прийняти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розірвання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Сторона, для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виникла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неможливість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Сторону.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виниклі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форс-мажору не буде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повідомлено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іншій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(десяти)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сторона, яка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перебуває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впливом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подальшому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позбавляється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посилатися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звільнення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.4.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Свідоцтво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видане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торгово-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промисловою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палатою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органом, є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достатнім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підтвердженням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тривалості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Положення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непереборної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наступили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прострочення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стороною, яка на них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посилається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обставин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форс-мажору не є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підставою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відмови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оплати.</w:t>
      </w: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ВИРІШЕННЯ СПОРІВ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Спори,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виникають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сторонами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переговорів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використанням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досудового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врегулювання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господарських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спорів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ІІ ГПКУ, а при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недосягненні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чинного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7B7B" w:rsidRPr="00217B7B" w:rsidRDefault="00217B7B" w:rsidP="0021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10. ІНШІ УМОВИ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10.1. Всі зміни і доповнення до цього договору будуть дійсними, якщо вони здійснені в письмовій формі і підписані повноважними представниками обох сторін.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Жодна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передавати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та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обов'язки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третім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особам без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попередньої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.3.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конфіденційним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документом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містяться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ньому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підлягають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розголошенню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третім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особам, без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письмової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згоди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іншої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договору.</w:t>
      </w:r>
    </w:p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усіх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врегульованих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договором,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керуються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.5.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домовилися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будуть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вважаються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отриманими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згодою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суб'єктів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Закону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Сторона, яка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отримала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зобов'язана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17B7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.6.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складений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двох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примірниках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однакову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юридичну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силу, по одному для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кожної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сторін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і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один - 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другий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у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Покупця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10.7. Істотні умови Договору не можуть змінюватися після його підписання до виконання зобов'язань Сторонами в повному обсязі, крім випадків: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10.7.1.  зменшення обсягів закупівлі, зокрема з урахуванням фактичного обсягу видатків замовника;</w:t>
      </w:r>
    </w:p>
    <w:p w:rsidR="00217B7B" w:rsidRPr="00217B7B" w:rsidRDefault="00217B7B" w:rsidP="0021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10.7.2. зміни ціни за одиницю товару не більш ніж на 10 відсотків у разі коливання ціни такого товару на ринку за   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умови, що зазначена зміна не призведе до збільшення суми, визначеної в договорі;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10.7.3. покращення якості предмета закупівлі за умови, що таке покращення не призведе до збільшення суми, визначеної у договорі;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10.7.4. продовження строку дії договору та виконання зобов’язань щодо передання 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10.7.5. зміни умов у зв’язку із застосуванням положень частини шостої цієї статті;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10.7.6. узгодженої зміни ціни в бік зменшення (без зміни кількості (обсягу) та якості товарів, робіт і послуг);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10.7.7. зміни ціни у зв’язку із зміною ставок податків і зборів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пропорційно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до змін таких ставок;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10.7.8. зміни встановленого згідно із законодавством органами державної статистики індексу споживчих цін, зміни курсу іноземної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</w:rPr>
        <w:t>валюти,зміни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біржових котирувань або показників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en-US"/>
        </w:rPr>
        <w:t>Platts</w:t>
      </w:r>
      <w:proofErr w:type="spellEnd"/>
      <w:r w:rsidRPr="00217B7B">
        <w:rPr>
          <w:rFonts w:ascii="Times New Roman" w:eastAsia="Times New Roman" w:hAnsi="Times New Roman" w:cs="Times New Roman"/>
          <w:sz w:val="24"/>
          <w:szCs w:val="24"/>
        </w:rPr>
        <w:t>, регульованих цін (тарифів) і нормативів, які застосовуються в договорі про закупівлю у разі встановлення в договорі про закупівлю порядку зміни ціни;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>10.8.Дія договору про закупівлю може продовжуватися на строк, достатній для проведення процедури закупівлі на початку наступного року,  в обсязі, що не перевищує 20 відсотків суми, визначеної в договорі, укладеному  в попередньому році, якщо видатки на цю мету затверджено в установленому порядку.</w:t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217B7B" w:rsidRPr="00217B7B" w:rsidRDefault="00217B7B" w:rsidP="00217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АДРЕСИ, РЕКВІЗИТИ І ПІДПИСИ СТОРІН</w:t>
      </w:r>
    </w:p>
    <w:tbl>
      <w:tblPr>
        <w:tblW w:w="16713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  <w:gridCol w:w="5805"/>
      </w:tblGrid>
      <w:tr w:rsidR="00217B7B" w:rsidRPr="00217B7B" w:rsidTr="00CA4ED7">
        <w:tc>
          <w:tcPr>
            <w:tcW w:w="5103" w:type="dxa"/>
          </w:tcPr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Покупець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КНП «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первинної медико-санітарної допомоги»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Старокостянтинівської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районної ради,  Хмельницької області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38487677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 31100, Хмельницька  область,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м . Старокостянтинів вул. Пушкіна ,47;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 реквізити: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АТ «Ощадбанк»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МФО 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.(03854) 72 000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./факс.(03854) 3-30-42 </w:t>
            </w:r>
          </w:p>
        </w:tc>
        <w:tc>
          <w:tcPr>
            <w:tcW w:w="5805" w:type="dxa"/>
          </w:tcPr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Постачальник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 ____________________________________ ____________________________________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 _____________________________________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7B" w:rsidRPr="00217B7B" w:rsidTr="00CA4ED7">
        <w:trPr>
          <w:gridAfter w:val="1"/>
          <w:wAfter w:w="5805" w:type="dxa"/>
        </w:trPr>
        <w:tc>
          <w:tcPr>
            <w:tcW w:w="5103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rPr>
          <w:gridAfter w:val="1"/>
          <w:wAfter w:w="5805" w:type="dxa"/>
        </w:trPr>
        <w:tc>
          <w:tcPr>
            <w:tcW w:w="5103" w:type="dxa"/>
          </w:tcPr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Директор  _____________</w:t>
            </w:r>
            <w:proofErr w:type="spellStart"/>
            <w:r w:rsidRPr="00217B7B">
              <w:rPr>
                <w:rFonts w:cs="Times New Roman"/>
              </w:rPr>
              <w:t>А.І.Швець</w:t>
            </w:r>
            <w:proofErr w:type="spellEnd"/>
            <w:r w:rsidRPr="00217B7B">
              <w:rPr>
                <w:rFonts w:cs="Times New Roman"/>
              </w:rPr>
              <w:t xml:space="preserve"> 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М.П.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____________________       ___________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М.П.</w:t>
            </w:r>
          </w:p>
        </w:tc>
      </w:tr>
      <w:tr w:rsidR="00217B7B" w:rsidRPr="00217B7B" w:rsidTr="00CA4ED7">
        <w:trPr>
          <w:gridAfter w:val="1"/>
          <w:wAfter w:w="5805" w:type="dxa"/>
        </w:trPr>
        <w:tc>
          <w:tcPr>
            <w:tcW w:w="5103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17B7B" w:rsidRPr="00217B7B" w:rsidRDefault="00217B7B" w:rsidP="00217B7B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217B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217B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1 </w:t>
      </w:r>
    </w:p>
    <w:p w:rsidR="00217B7B" w:rsidRPr="00217B7B" w:rsidRDefault="00217B7B" w:rsidP="0021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Договору </w:t>
      </w:r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закупівлю </w:t>
      </w:r>
    </w:p>
    <w:p w:rsidR="00217B7B" w:rsidRPr="00217B7B" w:rsidRDefault="00217B7B" w:rsidP="00217B7B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</w:t>
      </w:r>
      <w:proofErr w:type="gram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217B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proofErr w:type="gramEnd"/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«__» ___________ 202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217B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року</w:t>
      </w:r>
    </w:p>
    <w:p w:rsidR="00217B7B" w:rsidRPr="00217B7B" w:rsidRDefault="00217B7B" w:rsidP="00217B7B">
      <w:pPr>
        <w:widowControl w:val="0"/>
        <w:autoSpaceDE w:val="0"/>
        <w:spacing w:before="12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Специфікація</w:t>
      </w:r>
      <w:proofErr w:type="spellEnd"/>
    </w:p>
    <w:p w:rsidR="00217B7B" w:rsidRPr="00217B7B" w:rsidRDefault="00217B7B" w:rsidP="00217B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7B7B">
        <w:rPr>
          <w:rFonts w:ascii="Times New Roman" w:eastAsia="Times New Roman" w:hAnsi="Times New Roman" w:cs="Times New Roman"/>
          <w:bCs/>
          <w:sz w:val="24"/>
          <w:szCs w:val="24"/>
        </w:rPr>
        <w:t>про закупівлю за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код ДК 021:2015 -</w:t>
      </w:r>
      <w:r w:rsidR="00FD062B" w:rsidRPr="00FD062B">
        <w:rPr>
          <w:rFonts w:ascii="Times New Roman" w:hAnsi="Times New Roman" w:cs="Times New Roman"/>
          <w:b/>
          <w:i/>
          <w:sz w:val="28"/>
          <w:szCs w:val="28"/>
        </w:rPr>
        <w:t>09133000-0 - Нафтовий газ скраплений</w:t>
      </w:r>
      <w:r w:rsidRPr="00217B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(Газ нафтовий скраплений)</w:t>
      </w:r>
    </w:p>
    <w:tbl>
      <w:tblPr>
        <w:tblpPr w:leftFromText="180" w:rightFromText="180" w:vertAnchor="text" w:horzAnchor="margin" w:tblpXSpec="center" w:tblpY="142"/>
        <w:tblW w:w="10131" w:type="dxa"/>
        <w:tblLayout w:type="fixed"/>
        <w:tblLook w:val="0000" w:firstRow="0" w:lastRow="0" w:firstColumn="0" w:lastColumn="0" w:noHBand="0" w:noVBand="0"/>
      </w:tblPr>
      <w:tblGrid>
        <w:gridCol w:w="630"/>
        <w:gridCol w:w="4395"/>
        <w:gridCol w:w="150"/>
        <w:gridCol w:w="135"/>
        <w:gridCol w:w="1200"/>
        <w:gridCol w:w="1440"/>
        <w:gridCol w:w="1965"/>
        <w:gridCol w:w="45"/>
        <w:gridCol w:w="75"/>
        <w:gridCol w:w="30"/>
        <w:gridCol w:w="30"/>
        <w:gridCol w:w="30"/>
        <w:gridCol w:w="6"/>
      </w:tblGrid>
      <w:tr w:rsidR="00217B7B" w:rsidRPr="00217B7B" w:rsidTr="00CA4ED7">
        <w:tc>
          <w:tcPr>
            <w:tcW w:w="63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4545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133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Кіл-ть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 шт.</w:t>
            </w:r>
          </w:p>
        </w:tc>
        <w:tc>
          <w:tcPr>
            <w:tcW w:w="14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Ціна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 од</w:t>
            </w:r>
            <w:proofErr w:type="gram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 з ПДВ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(або без ПДВ)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217B7B" w:rsidRPr="00217B7B" w:rsidRDefault="00217B7B" w:rsidP="0021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(грн.)</w:t>
            </w:r>
          </w:p>
        </w:tc>
        <w:tc>
          <w:tcPr>
            <w:tcW w:w="2181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с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ума з ПДВ 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(або без ПДВ)</w:t>
            </w:r>
          </w:p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(грн.)</w:t>
            </w:r>
          </w:p>
        </w:tc>
      </w:tr>
      <w:tr w:rsidR="00217B7B" w:rsidRPr="00217B7B" w:rsidTr="00CA4ED7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ind w:left="306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 нафтовий скраплений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c>
          <w:tcPr>
            <w:tcW w:w="63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ind w:left="306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ціна пропозиції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ПДВ (20%), грн.:</w:t>
            </w: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c>
          <w:tcPr>
            <w:tcW w:w="7950" w:type="dxa"/>
            <w:gridSpan w:val="6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С</w:t>
            </w:r>
            <w:proofErr w:type="gram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Ь О Г О з ПДВ, грн.:</w:t>
            </w:r>
          </w:p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gridSpan w:val="7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17B7B" w:rsidRPr="00217B7B" w:rsidRDefault="00217B7B" w:rsidP="00217B7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5025" w:type="dxa"/>
            <w:gridSpan w:val="2"/>
            <w:vAlign w:val="center"/>
          </w:tcPr>
          <w:p w:rsidR="00217B7B" w:rsidRPr="00217B7B" w:rsidRDefault="00217B7B" w:rsidP="00217B7B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217B7B" w:rsidRPr="00217B7B" w:rsidRDefault="00217B7B" w:rsidP="00217B7B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17B7B" w:rsidRPr="00217B7B" w:rsidRDefault="00217B7B" w:rsidP="00217B7B">
            <w:pPr>
              <w:snapToGrid w:val="0"/>
              <w:spacing w:after="120" w:line="240" w:lineRule="auto"/>
              <w:ind w:right="-1" w:hanging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gridSpan w:val="3"/>
          </w:tcPr>
          <w:p w:rsidR="00217B7B" w:rsidRPr="00217B7B" w:rsidRDefault="00217B7B" w:rsidP="00217B7B">
            <w:pPr>
              <w:snapToGrid w:val="0"/>
              <w:spacing w:after="12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75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7B7B" w:rsidRPr="00217B7B" w:rsidRDefault="00217B7B" w:rsidP="00217B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103"/>
        <w:gridCol w:w="5805"/>
      </w:tblGrid>
      <w:tr w:rsidR="00217B7B" w:rsidRPr="00217B7B" w:rsidTr="00CA4ED7">
        <w:tc>
          <w:tcPr>
            <w:tcW w:w="5103" w:type="dxa"/>
          </w:tcPr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7B" w:rsidRPr="00217B7B" w:rsidTr="00CA4ED7">
        <w:tc>
          <w:tcPr>
            <w:tcW w:w="5103" w:type="dxa"/>
          </w:tcPr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Покупець: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КНП «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Старокостянтинівський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первинної медико-санітарної допомоги»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Старокостянтинівської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міської  ради,  Хмельницького району Хмельницької області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38487677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 31100, Хмельницька  область,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м . Старокостянтинів вул. Пушкіна ,47;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Банківські реквізити: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_____________________________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 «Ощадбанк»  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МФО </w:t>
            </w:r>
          </w:p>
          <w:p w:rsidR="00217B7B" w:rsidRPr="00217B7B" w:rsidRDefault="00217B7B" w:rsidP="00217B7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.(03854) 72 000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./факс.(03854) 3-30-42 </w:t>
            </w:r>
          </w:p>
        </w:tc>
        <w:tc>
          <w:tcPr>
            <w:tcW w:w="5805" w:type="dxa"/>
          </w:tcPr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Постачальник</w:t>
            </w:r>
            <w:proofErr w:type="spellEnd"/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 ____________________________________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 _____________________________________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  <w:r w:rsidRPr="00217B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217B7B" w:rsidRPr="00217B7B" w:rsidRDefault="00217B7B" w:rsidP="00217B7B">
            <w:pPr>
              <w:tabs>
                <w:tab w:val="left" w:pos="5337"/>
              </w:tabs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B7B" w:rsidRPr="00217B7B" w:rsidTr="00CA4ED7">
        <w:tc>
          <w:tcPr>
            <w:tcW w:w="5103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snapToGri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7B7B" w:rsidRPr="00217B7B" w:rsidTr="00CA4ED7">
        <w:tc>
          <w:tcPr>
            <w:tcW w:w="5103" w:type="dxa"/>
          </w:tcPr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Директор  _____________</w:t>
            </w:r>
            <w:proofErr w:type="spellStart"/>
            <w:r w:rsidRPr="00217B7B">
              <w:rPr>
                <w:rFonts w:cs="Times New Roman"/>
              </w:rPr>
              <w:t>А.І.Швець</w:t>
            </w:r>
            <w:proofErr w:type="spellEnd"/>
            <w:r w:rsidRPr="00217B7B">
              <w:rPr>
                <w:rFonts w:cs="Times New Roman"/>
              </w:rPr>
              <w:t xml:space="preserve"> 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М.П.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05" w:type="dxa"/>
          </w:tcPr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____________________       ___________</w:t>
            </w:r>
          </w:p>
          <w:p w:rsidR="00217B7B" w:rsidRPr="00217B7B" w:rsidRDefault="00217B7B" w:rsidP="00217B7B">
            <w:pPr>
              <w:spacing w:after="0" w:line="240" w:lineRule="auto"/>
              <w:rPr>
                <w:rFonts w:cs="Times New Roman"/>
              </w:rPr>
            </w:pPr>
            <w:r w:rsidRPr="00217B7B">
              <w:rPr>
                <w:rFonts w:cs="Times New Roman"/>
              </w:rPr>
              <w:t>М.П.</w:t>
            </w:r>
          </w:p>
        </w:tc>
      </w:tr>
    </w:tbl>
    <w:p w:rsidR="00217B7B" w:rsidRPr="00217B7B" w:rsidRDefault="00217B7B" w:rsidP="00217B7B">
      <w:pPr>
        <w:keepLines/>
        <w:tabs>
          <w:tab w:val="left" w:pos="0"/>
          <w:tab w:val="left" w:pos="426"/>
        </w:tabs>
        <w:suppressAutoHyphens/>
        <w:spacing w:after="120" w:line="228" w:lineRule="auto"/>
        <w:jc w:val="both"/>
        <w:rPr>
          <w:rFonts w:ascii="Times New Roman" w:eastAsia="Times New Roman" w:hAnsi="Times New Roman" w:cs="Times New Roman"/>
          <w:kern w:val="22"/>
          <w:sz w:val="24"/>
          <w:szCs w:val="24"/>
        </w:rPr>
      </w:pPr>
    </w:p>
    <w:p w:rsidR="00217B7B" w:rsidRDefault="00217B7B" w:rsidP="00217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C42" w:rsidRDefault="00946C42"/>
    <w:sectPr w:rsidR="00946C42">
      <w:footerReference w:type="default" r:id="rId6"/>
      <w:footerReference w:type="first" r:id="rId7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B3" w:rsidRDefault="00FD71B3">
      <w:pPr>
        <w:spacing w:after="0" w:line="240" w:lineRule="auto"/>
      </w:pPr>
      <w:r>
        <w:separator/>
      </w:r>
    </w:p>
  </w:endnote>
  <w:endnote w:type="continuationSeparator" w:id="0">
    <w:p w:rsidR="00FD71B3" w:rsidRDefault="00FD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3D" w:rsidRDefault="000D4D88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AA69DC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63D" w:rsidRDefault="00AA69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B3" w:rsidRDefault="00FD71B3">
      <w:pPr>
        <w:spacing w:after="0" w:line="240" w:lineRule="auto"/>
      </w:pPr>
      <w:r>
        <w:separator/>
      </w:r>
    </w:p>
  </w:footnote>
  <w:footnote w:type="continuationSeparator" w:id="0">
    <w:p w:rsidR="00FD71B3" w:rsidRDefault="00FD7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07"/>
    <w:rsid w:val="000B0D1E"/>
    <w:rsid w:val="000D4D88"/>
    <w:rsid w:val="001173A8"/>
    <w:rsid w:val="00184762"/>
    <w:rsid w:val="00195DC8"/>
    <w:rsid w:val="001C7D32"/>
    <w:rsid w:val="001D6171"/>
    <w:rsid w:val="0021654C"/>
    <w:rsid w:val="00217B7B"/>
    <w:rsid w:val="00244552"/>
    <w:rsid w:val="002467A1"/>
    <w:rsid w:val="002B03ED"/>
    <w:rsid w:val="002E1F5A"/>
    <w:rsid w:val="003068B6"/>
    <w:rsid w:val="00574664"/>
    <w:rsid w:val="00577C63"/>
    <w:rsid w:val="005B7532"/>
    <w:rsid w:val="006918B6"/>
    <w:rsid w:val="006D15A5"/>
    <w:rsid w:val="006F6A40"/>
    <w:rsid w:val="00747C30"/>
    <w:rsid w:val="007F5FD5"/>
    <w:rsid w:val="008A1A9B"/>
    <w:rsid w:val="00915107"/>
    <w:rsid w:val="00946C42"/>
    <w:rsid w:val="00952F54"/>
    <w:rsid w:val="00974FCE"/>
    <w:rsid w:val="00AA69DC"/>
    <w:rsid w:val="00B050F0"/>
    <w:rsid w:val="00B22AD9"/>
    <w:rsid w:val="00B32C75"/>
    <w:rsid w:val="00B94C28"/>
    <w:rsid w:val="00C210CD"/>
    <w:rsid w:val="00C370CC"/>
    <w:rsid w:val="00C47E3C"/>
    <w:rsid w:val="00D2647B"/>
    <w:rsid w:val="00D91CA7"/>
    <w:rsid w:val="00E14BA3"/>
    <w:rsid w:val="00E7161C"/>
    <w:rsid w:val="00F64D9F"/>
    <w:rsid w:val="00FD062B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35F2"/>
  <w15:chartTrackingRefBased/>
  <w15:docId w15:val="{F7A34F53-A6A5-430E-9D1B-E6A32DF1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8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qFormat/>
    <w:rsid w:val="000D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0D4D8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0D4D88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2">
    <w:name w:val="Основной текст (2) + Полужирный"/>
    <w:qFormat/>
    <w:rsid w:val="000D4D8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bidi="uk-UA"/>
    </w:rPr>
  </w:style>
  <w:style w:type="paragraph" w:styleId="a7">
    <w:name w:val="Body Text"/>
    <w:basedOn w:val="a"/>
    <w:link w:val="a8"/>
    <w:rsid w:val="000D4D8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D8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qFormat/>
    <w:rsid w:val="000D4D8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0D4D8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FontStyle15">
    <w:name w:val="Font Style15"/>
    <w:uiPriority w:val="99"/>
    <w:rsid w:val="000D4D88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0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0F0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List Paragraph"/>
    <w:basedOn w:val="a"/>
    <w:link w:val="ac"/>
    <w:uiPriority w:val="34"/>
    <w:qFormat/>
    <w:rsid w:val="00D2647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"/>
    </w:rPr>
  </w:style>
  <w:style w:type="character" w:customStyle="1" w:styleId="ac">
    <w:name w:val="Абзац списка Знак"/>
    <w:link w:val="ab"/>
    <w:uiPriority w:val="34"/>
    <w:locked/>
    <w:rsid w:val="00D2647B"/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styleId="ad">
    <w:name w:val="Hyperlink"/>
    <w:basedOn w:val="a0"/>
    <w:uiPriority w:val="99"/>
    <w:unhideWhenUsed/>
    <w:rsid w:val="00D264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647B"/>
    <w:rPr>
      <w:color w:val="605E5C"/>
      <w:shd w:val="clear" w:color="auto" w:fill="E1DFDD"/>
    </w:rPr>
  </w:style>
  <w:style w:type="paragraph" w:styleId="20">
    <w:name w:val="Body Text Indent 2"/>
    <w:basedOn w:val="a"/>
    <w:link w:val="21"/>
    <w:uiPriority w:val="99"/>
    <w:semiHidden/>
    <w:unhideWhenUsed/>
    <w:rsid w:val="00217B7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7B7B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9994</Words>
  <Characters>5697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VADIS</cp:lastModifiedBy>
  <cp:revision>21</cp:revision>
  <cp:lastPrinted>2023-03-03T08:04:00Z</cp:lastPrinted>
  <dcterms:created xsi:type="dcterms:W3CDTF">2023-03-02T12:29:00Z</dcterms:created>
  <dcterms:modified xsi:type="dcterms:W3CDTF">2023-03-21T12:37:00Z</dcterms:modified>
</cp:coreProperties>
</file>