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r w:rsidRPr="00D10222">
        <w:rPr>
          <w:rFonts w:ascii="Times New Roman" w:hAnsi="Times New Roman" w:cs="Times New Roman"/>
          <w:b/>
          <w:sz w:val="28"/>
          <w:szCs w:val="28"/>
          <w:lang w:eastAsia="ar-SA"/>
        </w:rPr>
        <w:t>Комунальне некомерційне підприємство «</w:t>
      </w:r>
      <w:proofErr w:type="spellStart"/>
      <w:r w:rsidRPr="00D10222">
        <w:rPr>
          <w:rFonts w:ascii="Times New Roman" w:hAnsi="Times New Roman" w:cs="Times New Roman"/>
          <w:b/>
          <w:sz w:val="28"/>
          <w:szCs w:val="28"/>
          <w:lang w:eastAsia="ar-SA"/>
        </w:rPr>
        <w:t>Старокостянтинівський</w:t>
      </w:r>
      <w:proofErr w:type="spellEnd"/>
      <w:r w:rsidRPr="00D10222">
        <w:rPr>
          <w:rFonts w:ascii="Times New Roman" w:hAnsi="Times New Roman" w:cs="Times New Roman"/>
          <w:b/>
          <w:sz w:val="28"/>
          <w:szCs w:val="28"/>
          <w:lang w:eastAsia="ar-SA"/>
        </w:rPr>
        <w:t xml:space="preserve"> центр первинної медико-санітарної допомоги» </w:t>
      </w:r>
      <w:proofErr w:type="spellStart"/>
      <w:r w:rsidRPr="00D10222">
        <w:rPr>
          <w:rFonts w:ascii="Times New Roman" w:hAnsi="Times New Roman" w:cs="Times New Roman"/>
          <w:b/>
          <w:sz w:val="28"/>
          <w:szCs w:val="28"/>
          <w:lang w:eastAsia="ar-SA"/>
        </w:rPr>
        <w:t>Старокостянтинівської</w:t>
      </w:r>
      <w:proofErr w:type="spellEnd"/>
      <w:r w:rsidRPr="00D10222">
        <w:rPr>
          <w:rFonts w:ascii="Times New Roman" w:hAnsi="Times New Roman" w:cs="Times New Roman"/>
          <w:b/>
          <w:sz w:val="28"/>
          <w:szCs w:val="28"/>
          <w:lang w:eastAsia="ar-SA"/>
        </w:rPr>
        <w:t xml:space="preserve">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0" w:name="_Hlk118707477"/>
            <w:r>
              <w:rPr>
                <w:rFonts w:ascii="Times New Roman" w:hAnsi="Times New Roman" w:cs="Times New Roman"/>
                <w:b/>
                <w:bCs/>
                <w:noProof/>
                <w:sz w:val="24"/>
                <w:szCs w:val="24"/>
                <w:lang w:eastAsia="ar-SA"/>
              </w:rPr>
              <w:t>33</w:t>
            </w:r>
            <w:r w:rsidRPr="00D10222">
              <w:rPr>
                <w:rFonts w:ascii="Times New Roman" w:hAnsi="Times New Roman" w:cs="Times New Roman"/>
                <w:b/>
                <w:bCs/>
                <w:noProof/>
                <w:sz w:val="24"/>
                <w:szCs w:val="24"/>
                <w:lang w:eastAsia="ar-SA"/>
              </w:rPr>
              <w:t xml:space="preserve"> </w:t>
            </w:r>
            <w:bookmarkEnd w:id="0"/>
            <w:r w:rsidRPr="00D10222">
              <w:rPr>
                <w:rFonts w:ascii="Times New Roman" w:hAnsi="Times New Roman" w:cs="Times New Roman"/>
                <w:b/>
                <w:bCs/>
                <w:noProof/>
                <w:sz w:val="24"/>
                <w:szCs w:val="24"/>
                <w:lang w:eastAsia="ar-SA"/>
              </w:rPr>
              <w:t xml:space="preserve">від </w:t>
            </w:r>
            <w:r>
              <w:rPr>
                <w:rFonts w:ascii="Times New Roman" w:hAnsi="Times New Roman" w:cs="Times New Roman"/>
                <w:b/>
                <w:bCs/>
                <w:noProof/>
                <w:sz w:val="24"/>
                <w:szCs w:val="24"/>
                <w:lang w:eastAsia="ar-SA"/>
              </w:rPr>
              <w:t>2</w:t>
            </w:r>
            <w:r w:rsidRPr="00D10222">
              <w:rPr>
                <w:rFonts w:ascii="Times New Roman" w:hAnsi="Times New Roman" w:cs="Times New Roman"/>
                <w:b/>
                <w:bCs/>
                <w:noProof/>
                <w:sz w:val="24"/>
                <w:szCs w:val="24"/>
                <w:lang w:eastAsia="ar-SA"/>
              </w:rPr>
              <w:t>1.03.2023 року</w:t>
            </w:r>
          </w:p>
        </w:tc>
      </w:tr>
    </w:tbl>
    <w:p w:rsidR="009C4C08" w:rsidRPr="00D10222" w:rsidRDefault="009C4C08" w:rsidP="009C4C08">
      <w:pPr>
        <w:rPr>
          <w:rFonts w:ascii="Times New Roman" w:hAnsi="Times New Roman" w:cs="Times New Roman"/>
          <w:b/>
          <w:bCs/>
          <w:i/>
          <w:iCs/>
          <w:lang w:val="ru-RU"/>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9C4C08">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p>
        </w:tc>
      </w:tr>
    </w:tbl>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D80EC4" w:rsidRDefault="00D80EC4" w:rsidP="00D80EC4">
      <w:pPr>
        <w:suppressLineNumbers/>
        <w:tabs>
          <w:tab w:val="num" w:pos="-180"/>
          <w:tab w:val="left" w:pos="540"/>
        </w:tabs>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Газ нафтовий скраплений  </w:t>
      </w:r>
    </w:p>
    <w:p w:rsidR="00D80EC4" w:rsidRPr="00D80EC4" w:rsidRDefault="009C4C08" w:rsidP="00D80EC4">
      <w:pPr>
        <w:suppressLineNumbers/>
        <w:tabs>
          <w:tab w:val="num" w:pos="-180"/>
          <w:tab w:val="left" w:pos="540"/>
        </w:tabs>
        <w:spacing w:after="0"/>
        <w:jc w:val="center"/>
        <w:rPr>
          <w:rFonts w:ascii="Times New Roman" w:hAnsi="Times New Roman" w:cs="Times New Roman"/>
          <w:b/>
          <w:i/>
          <w:sz w:val="28"/>
          <w:szCs w:val="28"/>
        </w:rPr>
      </w:pPr>
      <w:r w:rsidRPr="009C4C08">
        <w:rPr>
          <w:rFonts w:ascii="Times New Roman" w:hAnsi="Times New Roman" w:cs="Times New Roman"/>
          <w:b/>
          <w:i/>
          <w:sz w:val="28"/>
          <w:szCs w:val="28"/>
        </w:rPr>
        <w:t xml:space="preserve">за Кодом ДК 021:2015 «Єдиний закупівельний словник»: </w:t>
      </w:r>
      <w:r w:rsidR="00D80EC4" w:rsidRPr="00D80EC4">
        <w:rPr>
          <w:rFonts w:ascii="Times New Roman" w:hAnsi="Times New Roman" w:cs="Times New Roman"/>
          <w:b/>
          <w:i/>
          <w:sz w:val="28"/>
          <w:szCs w:val="28"/>
        </w:rPr>
        <w:tab/>
      </w:r>
    </w:p>
    <w:p w:rsidR="009C4C08" w:rsidRPr="009C4C08" w:rsidRDefault="005B1C71" w:rsidP="005B1C71">
      <w:pPr>
        <w:suppressLineNumbers/>
        <w:tabs>
          <w:tab w:val="num" w:pos="-180"/>
          <w:tab w:val="left" w:pos="540"/>
        </w:tabs>
        <w:spacing w:after="0"/>
        <w:jc w:val="center"/>
        <w:rPr>
          <w:rFonts w:ascii="Times New Roman" w:hAnsi="Times New Roman" w:cs="Times New Roman"/>
          <w:b/>
          <w:i/>
          <w:sz w:val="28"/>
          <w:szCs w:val="28"/>
        </w:rPr>
      </w:pPr>
      <w:r w:rsidRPr="005B1C71">
        <w:rPr>
          <w:rFonts w:ascii="Times New Roman" w:hAnsi="Times New Roman" w:cs="Times New Roman"/>
          <w:b/>
          <w:i/>
          <w:sz w:val="28"/>
          <w:szCs w:val="28"/>
        </w:rPr>
        <w:tab/>
        <w:t>09133000-0 - Нафтовий газ скраплений</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r w:rsidRPr="009C4C08">
        <w:rPr>
          <w:rFonts w:ascii="Times New Roman" w:hAnsi="Times New Roman" w:cs="Times New Roman"/>
          <w:sz w:val="28"/>
          <w:szCs w:val="28"/>
          <w:lang w:eastAsia="ar-SA"/>
        </w:rPr>
        <w:t>за процедурою:</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10206"/>
      </w:tblGrid>
      <w:tr w:rsidR="009C4C08" w:rsidRPr="009C4C08" w:rsidTr="0045313D">
        <w:tc>
          <w:tcPr>
            <w:tcW w:w="10206" w:type="dxa"/>
            <w:tcBorders>
              <w:top w:val="nil"/>
              <w:left w:val="nil"/>
              <w:bottom w:val="nil"/>
              <w:right w:val="nil"/>
            </w:tcBorders>
          </w:tcPr>
          <w:p w:rsidR="009C4C08" w:rsidRPr="009C4C08" w:rsidRDefault="009C4C08" w:rsidP="009C4C08">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9C4C08">
      <w:pPr>
        <w:ind w:left="436"/>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9C4C08" w:rsidRPr="007D4D1A" w:rsidRDefault="005D6C5A" w:rsidP="009C4C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color w:val="000000"/>
          <w:sz w:val="24"/>
          <w:szCs w:val="24"/>
        </w:rPr>
        <w:t> </w:t>
      </w:r>
      <w:r w:rsidR="009C4C08" w:rsidRPr="007D4D1A">
        <w:rPr>
          <w:rFonts w:ascii="Times New Roman" w:eastAsia="Times New Roman" w:hAnsi="Times New Roman" w:cs="Times New Roman"/>
          <w:b/>
        </w:rPr>
        <w:t xml:space="preserve">УВАГА! </w:t>
      </w:r>
    </w:p>
    <w:p w:rsidR="009C4C08" w:rsidRPr="007D4D1A" w:rsidRDefault="009C4C08" w:rsidP="009C4C08">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ТОРГИ БЕЗ АУКЦІОНУ</w:t>
      </w:r>
    </w:p>
    <w:p w:rsidR="008E2448" w:rsidRDefault="008E2448">
      <w:pPr>
        <w:spacing w:before="240" w:after="0" w:line="240" w:lineRule="auto"/>
        <w:rPr>
          <w:rFonts w:ascii="Times New Roman" w:eastAsia="Times New Roman" w:hAnsi="Times New Roman" w:cs="Times New Roman"/>
          <w:color w:val="000000"/>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422D28" w:rsidRPr="00422D28">
        <w:rPr>
          <w:rFonts w:ascii="Times New Roman" w:eastAsia="Times New Roman" w:hAnsi="Times New Roman" w:cs="Times New Roman"/>
          <w:color w:val="000000"/>
          <w:sz w:val="24"/>
          <w:szCs w:val="24"/>
        </w:rPr>
        <w:t>23</w:t>
      </w:r>
      <w:r w:rsidR="005D6C5A" w:rsidRPr="00422D28">
        <w:rPr>
          <w:rFonts w:ascii="Times New Roman" w:eastAsia="Times New Roman" w:hAnsi="Times New Roman" w:cs="Times New Roman"/>
          <w:color w:val="000000"/>
          <w:sz w:val="24"/>
          <w:szCs w:val="24"/>
        </w:rPr>
        <w:t xml:space="preserve"> рік</w:t>
      </w:r>
    </w:p>
    <w:p w:rsidR="00591847" w:rsidRPr="00422D28" w:rsidRDefault="0059184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w:t>
            </w:r>
            <w:proofErr w:type="spellStart"/>
            <w:r w:rsidRPr="00333CBB">
              <w:rPr>
                <w:rFonts w:ascii="Times New Roman" w:eastAsia="Times New Roman" w:hAnsi="Times New Roman"/>
                <w:bCs/>
                <w:iCs/>
                <w:sz w:val="24"/>
                <w:szCs w:val="24"/>
              </w:rPr>
              <w:t>Старокостянтинівский</w:t>
            </w:r>
            <w:proofErr w:type="spellEnd"/>
            <w:r w:rsidRPr="00333CBB">
              <w:rPr>
                <w:rFonts w:ascii="Times New Roman" w:eastAsia="Times New Roman" w:hAnsi="Times New Roman"/>
                <w:bCs/>
                <w:iCs/>
                <w:sz w:val="24"/>
                <w:szCs w:val="24"/>
              </w:rPr>
              <w:t xml:space="preserve"> центр первинної медико-санітарної допомоги» </w:t>
            </w:r>
            <w:proofErr w:type="spellStart"/>
            <w:r w:rsidRPr="00333CBB">
              <w:rPr>
                <w:rFonts w:ascii="Times New Roman" w:eastAsia="Times New Roman" w:hAnsi="Times New Roman"/>
                <w:bCs/>
                <w:iCs/>
                <w:sz w:val="24"/>
                <w:szCs w:val="24"/>
              </w:rPr>
              <w:t>Старокостянтинівської</w:t>
            </w:r>
            <w:proofErr w:type="spellEnd"/>
            <w:r w:rsidRPr="00333CBB">
              <w:rPr>
                <w:rFonts w:ascii="Times New Roman" w:eastAsia="Times New Roman" w:hAnsi="Times New Roman"/>
                <w:bCs/>
                <w:iCs/>
                <w:sz w:val="24"/>
                <w:szCs w:val="24"/>
              </w:rPr>
              <w:t xml:space="preserve">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Пушкіна ,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Кулєшова</w:t>
            </w:r>
            <w:proofErr w:type="spellEnd"/>
            <w:r>
              <w:rPr>
                <w:rFonts w:ascii="Times New Roman" w:eastAsia="Times New Roman" w:hAnsi="Times New Roman"/>
                <w:sz w:val="24"/>
                <w:szCs w:val="24"/>
              </w:rPr>
              <w:t xml:space="preserve">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31100, Хмельницька область, м. Старокостянтинів,  вул. Пушкіна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80EC4" w:rsidRPr="00D80EC4" w:rsidRDefault="00D80EC4" w:rsidP="00D80EC4">
            <w:pPr>
              <w:suppressLineNumbers/>
              <w:tabs>
                <w:tab w:val="num" w:pos="-180"/>
                <w:tab w:val="left" w:pos="540"/>
              </w:tabs>
              <w:rPr>
                <w:rFonts w:ascii="Times New Roman" w:hAnsi="Times New Roman" w:cs="Times New Roman"/>
                <w:sz w:val="24"/>
                <w:szCs w:val="24"/>
              </w:rPr>
            </w:pPr>
            <w:r w:rsidRPr="00D80EC4">
              <w:rPr>
                <w:rFonts w:ascii="Times New Roman" w:hAnsi="Times New Roman" w:cs="Times New Roman"/>
                <w:sz w:val="24"/>
                <w:szCs w:val="24"/>
              </w:rPr>
              <w:t xml:space="preserve">Газ нафтовий скраплений  за Кодом ДК 021:2015 «Єдиний закупівельний словник»: </w:t>
            </w:r>
            <w:r w:rsidR="005B1C71" w:rsidRPr="005B1C71">
              <w:rPr>
                <w:rFonts w:ascii="Times New Roman" w:hAnsi="Times New Roman" w:cs="Times New Roman"/>
                <w:b/>
                <w:i/>
                <w:sz w:val="24"/>
                <w:szCs w:val="24"/>
              </w:rPr>
              <w:t>09133000-0 - Нафтовий газ скраплений</w:t>
            </w:r>
            <w:r w:rsidR="005B1C71">
              <w:rPr>
                <w:rFonts w:ascii="Times New Roman" w:hAnsi="Times New Roman" w:cs="Times New Roman"/>
                <w:b/>
                <w:i/>
                <w:sz w:val="24"/>
                <w:szCs w:val="24"/>
              </w:rPr>
              <w:t>.</w:t>
            </w:r>
            <w:bookmarkStart w:id="2" w:name="_GoBack"/>
            <w:bookmarkEnd w:id="2"/>
          </w:p>
          <w:p w:rsidR="00D10222" w:rsidRPr="003079C0" w:rsidRDefault="00D10222" w:rsidP="00D10222">
            <w:pPr>
              <w:jc w:val="both"/>
              <w:rPr>
                <w:rFonts w:ascii="Times New Roman" w:eastAsia="Times New Roman" w:hAnsi="Times New Roman" w:cs="Times New Roman"/>
                <w:b/>
                <w:sz w:val="24"/>
                <w:szCs w:val="24"/>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lastRenderedPageBreak/>
              <w:t>(для робіт або послуг)</w:t>
            </w:r>
          </w:p>
        </w:tc>
        <w:tc>
          <w:tcPr>
            <w:tcW w:w="6420" w:type="dxa"/>
          </w:tcPr>
          <w:p w:rsidR="00D10222" w:rsidRPr="009757C0" w:rsidRDefault="00D10222" w:rsidP="00D10222">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lastRenderedPageBreak/>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D80EC4" w:rsidRPr="00D80EC4">
              <w:rPr>
                <w:rFonts w:ascii="Times New Roman" w:hAnsi="Times New Roman" w:cs="Times New Roman"/>
                <w:bCs/>
                <w:i/>
                <w:color w:val="000000" w:themeColor="text1"/>
              </w:rPr>
              <w:t>28000</w:t>
            </w:r>
            <w:r w:rsidRPr="00D80EC4">
              <w:rPr>
                <w:rFonts w:ascii="Times New Roman" w:hAnsi="Times New Roman" w:cs="Times New Roman"/>
                <w:bCs/>
                <w:i/>
                <w:color w:val="000000" w:themeColor="text1"/>
              </w:rPr>
              <w:t>,00 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D80EC4">
              <w:rPr>
                <w:rFonts w:ascii="Times New Roman" w:hAnsi="Times New Roman" w:cs="Times New Roman"/>
                <w:b/>
                <w:bCs/>
                <w:color w:val="000000" w:themeColor="text1"/>
              </w:rPr>
              <w:t>1000 л</w:t>
            </w:r>
          </w:p>
          <w:p w:rsidR="00D10222" w:rsidRPr="00E632DD" w:rsidRDefault="00D10222" w:rsidP="00D10222">
            <w:pPr>
              <w:jc w:val="both"/>
              <w:rPr>
                <w:rFonts w:ascii="Times New Roman" w:hAnsi="Times New Roman" w:cs="Times New Roman"/>
              </w:rPr>
            </w:pPr>
            <w:r w:rsidRPr="001A7CC1">
              <w:rPr>
                <w:rFonts w:ascii="Times New Roman" w:hAnsi="Times New Roman" w:cs="Times New Roman"/>
                <w:b/>
                <w:bCs/>
              </w:rPr>
              <w:t>Місце поставки (відпустку) товару:</w:t>
            </w:r>
            <w:r w:rsidRPr="001A7CC1">
              <w:rPr>
                <w:rFonts w:ascii="Times New Roman" w:hAnsi="Times New Roman" w:cs="Times New Roman"/>
              </w:rPr>
              <w:t xml:space="preserve"> Відпуск палива буде здійснюється на підставі талонів через АЗС переможця процедури закупівлі</w:t>
            </w:r>
            <w:r w:rsidR="00D80EC4">
              <w:rPr>
                <w:rFonts w:ascii="Times New Roman" w:hAnsi="Times New Roman" w:cs="Times New Roman"/>
              </w:rPr>
              <w:t xml:space="preserve"> </w:t>
            </w:r>
          </w:p>
          <w:p w:rsidR="00D80EC4" w:rsidRPr="00D80EC4" w:rsidRDefault="00D10222" w:rsidP="00D80EC4">
            <w:pPr>
              <w:widowControl w:val="0"/>
              <w:ind w:hanging="2"/>
              <w:jc w:val="both"/>
              <w:rPr>
                <w:rFonts w:ascii="Times New Roman" w:hAnsi="Times New Roman" w:cs="Times New Roman"/>
                <w:bCs/>
                <w:sz w:val="24"/>
                <w:szCs w:val="24"/>
                <w:lang w:val="ru-RU" w:eastAsia="en-US"/>
              </w:rPr>
            </w:pPr>
            <w:r w:rsidRPr="001A7CC1">
              <w:rPr>
                <w:rFonts w:ascii="Times New Roman" w:hAnsi="Times New Roman" w:cs="Times New Roman"/>
                <w:b/>
                <w:bCs/>
              </w:rPr>
              <w:t xml:space="preserve">Місце поставки талонів: </w:t>
            </w:r>
            <w:proofErr w:type="spellStart"/>
            <w:r w:rsidR="00D80EC4" w:rsidRPr="00D80EC4">
              <w:rPr>
                <w:rFonts w:ascii="Times New Roman" w:hAnsi="Times New Roman" w:cs="Times New Roman"/>
                <w:bCs/>
                <w:sz w:val="24"/>
                <w:szCs w:val="24"/>
                <w:lang w:val="ru-RU" w:eastAsia="en-US"/>
              </w:rPr>
              <w:t>Україна</w:t>
            </w:r>
            <w:proofErr w:type="spellEnd"/>
            <w:r w:rsidR="00D80EC4" w:rsidRPr="00D80EC4">
              <w:rPr>
                <w:rFonts w:ascii="Times New Roman" w:hAnsi="Times New Roman" w:cs="Times New Roman"/>
                <w:bCs/>
                <w:sz w:val="24"/>
                <w:szCs w:val="24"/>
                <w:lang w:val="ru-RU" w:eastAsia="en-US"/>
              </w:rPr>
              <w:t xml:space="preserve">, 31100, </w:t>
            </w:r>
            <w:proofErr w:type="spellStart"/>
            <w:r w:rsidR="00D80EC4" w:rsidRPr="00D80EC4">
              <w:rPr>
                <w:rFonts w:ascii="Times New Roman" w:hAnsi="Times New Roman" w:cs="Times New Roman"/>
                <w:bCs/>
                <w:sz w:val="24"/>
                <w:szCs w:val="24"/>
                <w:lang w:val="ru-RU" w:eastAsia="en-US"/>
              </w:rPr>
              <w:t>Хмельницька</w:t>
            </w:r>
            <w:proofErr w:type="spellEnd"/>
            <w:r w:rsidR="00D80EC4" w:rsidRPr="00D80EC4">
              <w:rPr>
                <w:rFonts w:ascii="Times New Roman" w:hAnsi="Times New Roman" w:cs="Times New Roman"/>
                <w:bCs/>
                <w:sz w:val="24"/>
                <w:szCs w:val="24"/>
                <w:lang w:val="ru-RU" w:eastAsia="en-US"/>
              </w:rPr>
              <w:t xml:space="preserve"> область, м. </w:t>
            </w:r>
            <w:proofErr w:type="spellStart"/>
            <w:proofErr w:type="gramStart"/>
            <w:r w:rsidR="00D80EC4" w:rsidRPr="00D80EC4">
              <w:rPr>
                <w:rFonts w:ascii="Times New Roman" w:hAnsi="Times New Roman" w:cs="Times New Roman"/>
                <w:bCs/>
                <w:sz w:val="24"/>
                <w:szCs w:val="24"/>
                <w:lang w:val="ru-RU" w:eastAsia="en-US"/>
              </w:rPr>
              <w:t>Старокостянтинів</w:t>
            </w:r>
            <w:proofErr w:type="spellEnd"/>
            <w:r w:rsidR="00D80EC4" w:rsidRPr="00D80EC4">
              <w:rPr>
                <w:rFonts w:ascii="Times New Roman" w:hAnsi="Times New Roman" w:cs="Times New Roman"/>
                <w:bCs/>
                <w:sz w:val="24"/>
                <w:szCs w:val="24"/>
                <w:lang w:val="ru-RU" w:eastAsia="en-US"/>
              </w:rPr>
              <w:t xml:space="preserve">,  </w:t>
            </w:r>
            <w:proofErr w:type="spellStart"/>
            <w:r w:rsidR="00D80EC4" w:rsidRPr="00D80EC4">
              <w:rPr>
                <w:rFonts w:ascii="Times New Roman" w:hAnsi="Times New Roman" w:cs="Times New Roman"/>
                <w:bCs/>
                <w:sz w:val="24"/>
                <w:szCs w:val="24"/>
                <w:lang w:val="ru-RU" w:eastAsia="en-US"/>
              </w:rPr>
              <w:t>вул</w:t>
            </w:r>
            <w:proofErr w:type="spellEnd"/>
            <w:proofErr w:type="gramEnd"/>
            <w:r w:rsidR="00D80EC4" w:rsidRPr="00D80EC4">
              <w:rPr>
                <w:rFonts w:ascii="Times New Roman" w:hAnsi="Times New Roman" w:cs="Times New Roman"/>
                <w:bCs/>
                <w:sz w:val="24"/>
                <w:szCs w:val="24"/>
                <w:lang w:val="ru-RU" w:eastAsia="en-US"/>
              </w:rPr>
              <w:t xml:space="preserve">. </w:t>
            </w:r>
            <w:proofErr w:type="spellStart"/>
            <w:proofErr w:type="gramStart"/>
            <w:r w:rsidR="00D80EC4" w:rsidRPr="00D80EC4">
              <w:rPr>
                <w:rFonts w:ascii="Times New Roman" w:hAnsi="Times New Roman" w:cs="Times New Roman"/>
                <w:bCs/>
                <w:sz w:val="24"/>
                <w:szCs w:val="24"/>
                <w:lang w:val="ru-RU" w:eastAsia="en-US"/>
              </w:rPr>
              <w:t>Пушкіна</w:t>
            </w:r>
            <w:proofErr w:type="spellEnd"/>
            <w:r w:rsidR="00D80EC4" w:rsidRPr="00D80EC4">
              <w:rPr>
                <w:rFonts w:ascii="Times New Roman" w:hAnsi="Times New Roman" w:cs="Times New Roman"/>
                <w:bCs/>
                <w:sz w:val="24"/>
                <w:szCs w:val="24"/>
                <w:lang w:val="ru-RU" w:eastAsia="en-US"/>
              </w:rPr>
              <w:t xml:space="preserve"> ,</w:t>
            </w:r>
            <w:proofErr w:type="gramEnd"/>
            <w:r w:rsidR="00D80EC4" w:rsidRPr="00D80EC4">
              <w:rPr>
                <w:rFonts w:ascii="Times New Roman" w:hAnsi="Times New Roman" w:cs="Times New Roman"/>
                <w:bCs/>
                <w:sz w:val="24"/>
                <w:szCs w:val="24"/>
                <w:lang w:val="ru-RU" w:eastAsia="en-US"/>
              </w:rPr>
              <w:t xml:space="preserve">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10222" w:rsidP="00D10222">
            <w:pPr>
              <w:widowControl w:val="0"/>
              <w:rPr>
                <w:rFonts w:ascii="Times New Roman" w:eastAsia="Times New Roman" w:hAnsi="Times New Roman" w:cs="Times New Roman"/>
                <w:b/>
                <w:sz w:val="24"/>
                <w:szCs w:val="24"/>
                <w:highlight w:val="cyan"/>
              </w:rPr>
            </w:pPr>
            <w:r w:rsidRPr="00B87C98">
              <w:rPr>
                <w:rFonts w:ascii="Times New Roman" w:eastAsia="Times New Roman" w:hAnsi="Times New Roman" w:cs="Times New Roman"/>
                <w:b/>
                <w:color w:val="000000"/>
                <w:sz w:val="24"/>
                <w:szCs w:val="24"/>
              </w:rPr>
              <w:t xml:space="preserve">до  31 грудня  2023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w:t>
            </w:r>
            <w:r w:rsidRPr="00B87C98">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 120 (сто</w:t>
            </w:r>
            <w:r w:rsidRPr="00B87C98">
              <w:rPr>
                <w:rFonts w:ascii="Times New Roman" w:eastAsia="Times New Roman" w:hAnsi="Times New Roman" w:cs="Times New Roman"/>
                <w:b/>
                <w:i/>
                <w:sz w:val="24"/>
                <w:szCs w:val="24"/>
                <w:u w:val="single"/>
              </w:rPr>
              <w:t xml:space="preserve">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 замовник має незаперечні докази того, що учасник </w:t>
            </w:r>
            <w:r w:rsidRPr="00B87C98">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87C98">
              <w:rPr>
                <w:rFonts w:ascii="Times New Roman" w:eastAsia="Times New Roman" w:hAnsi="Times New Roman" w:cs="Times New Roman"/>
                <w:sz w:val="24"/>
                <w:szCs w:val="24"/>
              </w:rPr>
              <w:lastRenderedPageBreak/>
              <w:t xml:space="preserve">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10222">
        <w:trPr>
          <w:trHeight w:val="51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10222" w:rsidRPr="00B963CB" w:rsidRDefault="00D10222" w:rsidP="00D10222">
            <w:pPr>
              <w:widowControl w:val="0"/>
              <w:jc w:val="both"/>
              <w:rPr>
                <w:rFonts w:ascii="Times New Roman" w:eastAsia="Times New Roman" w:hAnsi="Times New Roman" w:cs="Times New Roman"/>
                <w:b/>
                <w:color w:val="000000"/>
                <w:sz w:val="24"/>
                <w:szCs w:val="24"/>
              </w:rPr>
            </w:pPr>
            <w:r w:rsidRPr="00B963CB">
              <w:rPr>
                <w:rFonts w:ascii="Times New Roman" w:eastAsia="Times New Roman" w:hAnsi="Times New Roman" w:cs="Times New Roman"/>
                <w:b/>
                <w:color w:val="000000"/>
                <w:sz w:val="24"/>
                <w:szCs w:val="24"/>
              </w:rPr>
              <w:t>Відкриті торги проводяться без застосування електронного аукціону.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10222" w:rsidRPr="00B87C98" w:rsidRDefault="00D10222" w:rsidP="00D10222">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lastRenderedPageBreak/>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10222" w:rsidRDefault="00D10222" w:rsidP="00D10222">
            <w:pPr>
              <w:widowControl w:val="0"/>
              <w:jc w:val="both"/>
              <w:rPr>
                <w:rFonts w:ascii="Times New Roman" w:eastAsia="Times New Roman" w:hAnsi="Times New Roman" w:cs="Times New Roman"/>
                <w:i/>
                <w:color w:val="4A86E8"/>
                <w:sz w:val="24"/>
                <w:szCs w:val="24"/>
                <w:highlight w:val="white"/>
              </w:rPr>
            </w:pPr>
          </w:p>
          <w:p w:rsidR="00D10222" w:rsidRPr="00B963CB" w:rsidRDefault="00D10222" w:rsidP="00D10222">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10222" w:rsidRPr="008B79BB"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10222" w:rsidRPr="004908FC" w:rsidRDefault="00D10222" w:rsidP="00D10222">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10222" w:rsidRDefault="00D10222" w:rsidP="00D10222">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10222" w:rsidRDefault="00D10222" w:rsidP="00D1022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w:t>
            </w:r>
            <w:r w:rsidRPr="004908FC">
              <w:rPr>
                <w:rFonts w:ascii="Times New Roman" w:eastAsia="Times New Roman" w:hAnsi="Times New Roman" w:cs="Times New Roman"/>
                <w:sz w:val="24"/>
                <w:szCs w:val="24"/>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10222">
        <w:trPr>
          <w:trHeight w:val="47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10222" w:rsidRDefault="00D10222" w:rsidP="00D102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10222">
        <w:trPr>
          <w:trHeight w:val="210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10222" w:rsidRPr="004908FC" w:rsidRDefault="00D10222" w:rsidP="00D10222">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10222" w:rsidRDefault="00D10222" w:rsidP="00D10222">
            <w:pPr>
              <w:widowControl w:val="0"/>
              <w:ind w:right="120"/>
              <w:jc w:val="both"/>
              <w:rPr>
                <w:rFonts w:ascii="Times New Roman" w:eastAsia="Times New Roman" w:hAnsi="Times New Roman" w:cs="Times New Roman"/>
                <w:sz w:val="24"/>
                <w:szCs w:val="24"/>
              </w:rPr>
            </w:pPr>
          </w:p>
          <w:p w:rsidR="00D10222" w:rsidRDefault="00D10222" w:rsidP="00D10222">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E6EAA"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8E2448"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5E6EAA">
        <w:rPr>
          <w:rFonts w:ascii="Times New Roman" w:eastAsia="Times New Roman" w:hAnsi="Times New Roman" w:cs="Times New Roman"/>
          <w:sz w:val="24"/>
          <w:szCs w:val="24"/>
          <w:highlight w:val="white"/>
        </w:rPr>
        <w:t>(</w:t>
      </w:r>
      <w:proofErr w:type="spellStart"/>
      <w:r w:rsidR="005E6EAA">
        <w:rPr>
          <w:rFonts w:ascii="Times New Roman" w:eastAsia="Times New Roman" w:hAnsi="Times New Roman" w:cs="Times New Roman"/>
          <w:sz w:val="24"/>
          <w:szCs w:val="24"/>
          <w:highlight w:val="white"/>
        </w:rPr>
        <w:t>кваліф</w:t>
      </w:r>
      <w:proofErr w:type="spellEnd"/>
      <w:r w:rsidR="005E6EAA">
        <w:rPr>
          <w:rFonts w:ascii="Times New Roman" w:eastAsia="Times New Roman" w:hAnsi="Times New Roman" w:cs="Times New Roman"/>
          <w:sz w:val="24"/>
          <w:szCs w:val="24"/>
          <w:highlight w:val="white"/>
        </w:rPr>
        <w:t>. критерії,  ст. 17 (п.44 Особливостей), інші вимоги)</w:t>
      </w:r>
    </w:p>
    <w:p w:rsidR="005E6EAA" w:rsidRDefault="005D6C5A"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5E6EAA">
        <w:rPr>
          <w:rFonts w:ascii="Times New Roman" w:eastAsia="Times New Roman" w:hAnsi="Times New Roman" w:cs="Times New Roman"/>
          <w:sz w:val="24"/>
          <w:szCs w:val="24"/>
          <w:highlight w:val="white"/>
        </w:rPr>
        <w:t>(технічні, якісні, кількісні вимоги до предмету закупівлі</w:t>
      </w:r>
    </w:p>
    <w:p w:rsidR="005E6EAA" w:rsidRDefault="005D6C5A" w:rsidP="005E6E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B963CB">
        <w:rPr>
          <w:rFonts w:ascii="Times New Roman" w:eastAsia="Times New Roman" w:hAnsi="Times New Roman" w:cs="Times New Roman"/>
          <w:sz w:val="24"/>
          <w:szCs w:val="24"/>
        </w:rPr>
        <w:t xml:space="preserve">  </w:t>
      </w:r>
      <w:r w:rsidR="005E6EAA">
        <w:rPr>
          <w:rFonts w:ascii="Times New Roman" w:eastAsia="Times New Roman" w:hAnsi="Times New Roman" w:cs="Times New Roman"/>
          <w:sz w:val="24"/>
          <w:szCs w:val="24"/>
        </w:rPr>
        <w:t>(</w:t>
      </w:r>
      <w:proofErr w:type="spellStart"/>
      <w:r w:rsidR="005E6EAA">
        <w:rPr>
          <w:rFonts w:ascii="Times New Roman" w:eastAsia="Times New Roman" w:hAnsi="Times New Roman" w:cs="Times New Roman"/>
          <w:sz w:val="24"/>
          <w:szCs w:val="24"/>
        </w:rPr>
        <w:t>проєкт</w:t>
      </w:r>
      <w:proofErr w:type="spellEnd"/>
      <w:r w:rsidR="005E6EAA">
        <w:rPr>
          <w:rFonts w:ascii="Times New Roman" w:eastAsia="Times New Roman" w:hAnsi="Times New Roman" w:cs="Times New Roman"/>
          <w:sz w:val="24"/>
          <w:szCs w:val="24"/>
        </w:rPr>
        <w:t xml:space="preserve"> договору)</w:t>
      </w:r>
    </w:p>
    <w:p w:rsidR="00B963CB" w:rsidRPr="005E6EAA" w:rsidRDefault="00B963CB"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4. Додаток 4 до тендерної пропозиції</w:t>
      </w:r>
      <w:r w:rsidR="005E6EAA">
        <w:rPr>
          <w:rFonts w:ascii="Times New Roman" w:eastAsia="Times New Roman" w:hAnsi="Times New Roman" w:cs="Times New Roman"/>
          <w:sz w:val="24"/>
          <w:szCs w:val="24"/>
        </w:rPr>
        <w:t xml:space="preserve"> (форма тендерної пропозиції)</w:t>
      </w:r>
    </w:p>
    <w:sectPr w:rsidR="00B963CB" w:rsidRPr="005E6EAA">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149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768C7"/>
    <w:rsid w:val="00081B47"/>
    <w:rsid w:val="000A727E"/>
    <w:rsid w:val="00101416"/>
    <w:rsid w:val="0012026F"/>
    <w:rsid w:val="00190C72"/>
    <w:rsid w:val="00297322"/>
    <w:rsid w:val="003079C0"/>
    <w:rsid w:val="003D149D"/>
    <w:rsid w:val="00422D28"/>
    <w:rsid w:val="004679ED"/>
    <w:rsid w:val="004908FC"/>
    <w:rsid w:val="004D7546"/>
    <w:rsid w:val="00591847"/>
    <w:rsid w:val="005B1C71"/>
    <w:rsid w:val="005D6C5A"/>
    <w:rsid w:val="005E6EAA"/>
    <w:rsid w:val="00622DE8"/>
    <w:rsid w:val="006A6A49"/>
    <w:rsid w:val="006D7753"/>
    <w:rsid w:val="007C4DAB"/>
    <w:rsid w:val="008B79BB"/>
    <w:rsid w:val="008E2448"/>
    <w:rsid w:val="009757C0"/>
    <w:rsid w:val="009C4C08"/>
    <w:rsid w:val="009C62C4"/>
    <w:rsid w:val="00AB0540"/>
    <w:rsid w:val="00B87C98"/>
    <w:rsid w:val="00B963CB"/>
    <w:rsid w:val="00BB33E3"/>
    <w:rsid w:val="00CD0129"/>
    <w:rsid w:val="00D10222"/>
    <w:rsid w:val="00D41E6F"/>
    <w:rsid w:val="00D54880"/>
    <w:rsid w:val="00D80EC4"/>
    <w:rsid w:val="00DE44CC"/>
    <w:rsid w:val="00E33582"/>
    <w:rsid w:val="00EB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2719"/>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34331</Words>
  <Characters>19570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7</cp:revision>
  <dcterms:created xsi:type="dcterms:W3CDTF">2023-03-21T08:21:00Z</dcterms:created>
  <dcterms:modified xsi:type="dcterms:W3CDTF">2023-03-21T11:58:00Z</dcterms:modified>
</cp:coreProperties>
</file>