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27F34DAC" w:rsidR="009F7054" w:rsidRPr="00821672"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821672">
        <w:rPr>
          <w:rFonts w:ascii="Times New Roman" w:eastAsia="Calibri" w:hAnsi="Times New Roman" w:cs="Times New Roman"/>
          <w:color w:val="000000" w:themeColor="text1"/>
          <w:sz w:val="24"/>
          <w:szCs w:val="24"/>
          <w:lang w:val="uk-UA" w:eastAsia="ru-RU"/>
        </w:rPr>
        <w:t>08</w:t>
      </w:r>
      <w:r w:rsidR="0006520C" w:rsidRPr="00B8734A">
        <w:rPr>
          <w:rFonts w:ascii="Times New Roman" w:eastAsia="Calibri" w:hAnsi="Times New Roman" w:cs="Times New Roman"/>
          <w:color w:val="000000" w:themeColor="text1"/>
          <w:sz w:val="24"/>
          <w:szCs w:val="24"/>
          <w:lang w:val="en-US" w:eastAsia="ru-RU"/>
        </w:rPr>
        <w:t>.</w:t>
      </w:r>
      <w:r w:rsidR="00B8734A" w:rsidRPr="00B8734A">
        <w:rPr>
          <w:rFonts w:ascii="Times New Roman" w:eastAsia="Calibri" w:hAnsi="Times New Roman" w:cs="Times New Roman"/>
          <w:color w:val="000000" w:themeColor="text1"/>
          <w:sz w:val="24"/>
          <w:szCs w:val="24"/>
          <w:lang w:val="uk-UA" w:eastAsia="ru-RU"/>
        </w:rPr>
        <w:t>1</w:t>
      </w:r>
      <w:r w:rsidR="00821672">
        <w:rPr>
          <w:rFonts w:ascii="Times New Roman" w:eastAsia="Calibri" w:hAnsi="Times New Roman" w:cs="Times New Roman"/>
          <w:color w:val="000000" w:themeColor="text1"/>
          <w:sz w:val="24"/>
          <w:szCs w:val="24"/>
          <w:lang w:val="uk-UA" w:eastAsia="ru-RU"/>
        </w:rPr>
        <w:t>2</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2023 року №</w:t>
      </w:r>
      <w:r w:rsidR="00821672">
        <w:rPr>
          <w:rFonts w:ascii="Times New Roman" w:eastAsia="Calibri" w:hAnsi="Times New Roman" w:cs="Times New Roman"/>
          <w:color w:val="000000" w:themeColor="text1"/>
          <w:sz w:val="24"/>
          <w:szCs w:val="24"/>
          <w:lang w:val="uk-UA" w:eastAsia="ru-RU"/>
        </w:rPr>
        <w:t>107</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9C03C4" w14:paraId="5F5C4AEB" w14:textId="77777777">
        <w:tc>
          <w:tcPr>
            <w:tcW w:w="10165" w:type="dxa"/>
            <w:tcBorders>
              <w:top w:val="nil"/>
              <w:left w:val="nil"/>
              <w:bottom w:val="nil"/>
              <w:right w:val="nil"/>
            </w:tcBorders>
          </w:tcPr>
          <w:p w14:paraId="6E8521A0" w14:textId="77777777" w:rsidR="00821672" w:rsidRDefault="00821672" w:rsidP="00107B86">
            <w:pPr>
              <w:spacing w:before="240" w:line="240" w:lineRule="auto"/>
              <w:jc w:val="center"/>
              <w:rPr>
                <w:rFonts w:ascii="Times New Roman" w:eastAsia="Times New Roman" w:hAnsi="Times New Roman" w:cs="Times New Roman"/>
                <w:color w:val="000000"/>
                <w:sz w:val="28"/>
                <w:szCs w:val="28"/>
              </w:rPr>
            </w:pPr>
            <w:bookmarkStart w:id="0" w:name="_Hlk145945070"/>
            <w:proofErr w:type="spellStart"/>
            <w:r w:rsidRPr="00821672">
              <w:rPr>
                <w:rFonts w:ascii="Times New Roman" w:eastAsia="Times New Roman" w:hAnsi="Times New Roman" w:cs="Times New Roman"/>
                <w:b/>
                <w:bCs/>
                <w:color w:val="000000"/>
                <w:sz w:val="28"/>
                <w:szCs w:val="28"/>
              </w:rPr>
              <w:t>Дефібрилятор</w:t>
            </w:r>
            <w:proofErr w:type="spellEnd"/>
            <w:r w:rsidRPr="00821672">
              <w:rPr>
                <w:rFonts w:ascii="Times New Roman" w:eastAsia="Times New Roman" w:hAnsi="Times New Roman" w:cs="Times New Roman"/>
                <w:b/>
                <w:bCs/>
                <w:color w:val="000000"/>
                <w:sz w:val="28"/>
                <w:szCs w:val="28"/>
              </w:rPr>
              <w:t xml:space="preserve"> </w:t>
            </w:r>
            <w:proofErr w:type="spellStart"/>
            <w:r w:rsidRPr="00821672">
              <w:rPr>
                <w:rFonts w:ascii="Times New Roman" w:eastAsia="Times New Roman" w:hAnsi="Times New Roman" w:cs="Times New Roman"/>
                <w:b/>
                <w:bCs/>
                <w:color w:val="000000"/>
                <w:sz w:val="28"/>
                <w:szCs w:val="28"/>
              </w:rPr>
              <w:t>зовнішній</w:t>
            </w:r>
            <w:proofErr w:type="spellEnd"/>
            <w:r w:rsidRPr="00821672">
              <w:rPr>
                <w:rFonts w:ascii="Times New Roman" w:eastAsia="Times New Roman" w:hAnsi="Times New Roman" w:cs="Times New Roman"/>
                <w:b/>
                <w:bCs/>
                <w:color w:val="000000"/>
                <w:sz w:val="28"/>
                <w:szCs w:val="28"/>
              </w:rPr>
              <w:t xml:space="preserve"> </w:t>
            </w:r>
            <w:proofErr w:type="spellStart"/>
            <w:r w:rsidRPr="00821672">
              <w:rPr>
                <w:rFonts w:ascii="Times New Roman" w:eastAsia="Times New Roman" w:hAnsi="Times New Roman" w:cs="Times New Roman"/>
                <w:b/>
                <w:bCs/>
                <w:color w:val="000000"/>
                <w:sz w:val="28"/>
                <w:szCs w:val="28"/>
              </w:rPr>
              <w:t>автоматичний</w:t>
            </w:r>
            <w:proofErr w:type="spellEnd"/>
            <w:r w:rsidRPr="00821672">
              <w:rPr>
                <w:rFonts w:ascii="Times New Roman" w:eastAsia="Times New Roman" w:hAnsi="Times New Roman" w:cs="Times New Roman"/>
                <w:b/>
                <w:bCs/>
                <w:color w:val="000000"/>
                <w:sz w:val="28"/>
                <w:szCs w:val="28"/>
              </w:rPr>
              <w:t xml:space="preserve">, </w:t>
            </w:r>
            <w:proofErr w:type="spellStart"/>
            <w:r w:rsidRPr="00821672">
              <w:rPr>
                <w:rFonts w:ascii="Times New Roman" w:eastAsia="Times New Roman" w:hAnsi="Times New Roman" w:cs="Times New Roman"/>
                <w:b/>
                <w:bCs/>
                <w:color w:val="000000"/>
                <w:sz w:val="28"/>
                <w:szCs w:val="28"/>
              </w:rPr>
              <w:t>Підігрівач</w:t>
            </w:r>
            <w:proofErr w:type="spellEnd"/>
            <w:r w:rsidRPr="00821672">
              <w:rPr>
                <w:rFonts w:ascii="Times New Roman" w:eastAsia="Times New Roman" w:hAnsi="Times New Roman" w:cs="Times New Roman"/>
                <w:b/>
                <w:bCs/>
                <w:color w:val="000000"/>
                <w:sz w:val="28"/>
                <w:szCs w:val="28"/>
              </w:rPr>
              <w:t xml:space="preserve"> </w:t>
            </w:r>
            <w:proofErr w:type="spellStart"/>
            <w:r w:rsidRPr="00821672">
              <w:rPr>
                <w:rFonts w:ascii="Times New Roman" w:eastAsia="Times New Roman" w:hAnsi="Times New Roman" w:cs="Times New Roman"/>
                <w:b/>
                <w:bCs/>
                <w:color w:val="000000"/>
                <w:sz w:val="28"/>
                <w:szCs w:val="28"/>
              </w:rPr>
              <w:t>інфузійних</w:t>
            </w:r>
            <w:proofErr w:type="spellEnd"/>
            <w:r w:rsidRPr="00821672">
              <w:rPr>
                <w:rFonts w:ascii="Times New Roman" w:eastAsia="Times New Roman" w:hAnsi="Times New Roman" w:cs="Times New Roman"/>
                <w:b/>
                <w:bCs/>
                <w:color w:val="000000"/>
                <w:sz w:val="28"/>
                <w:szCs w:val="28"/>
              </w:rPr>
              <w:t xml:space="preserve"> </w:t>
            </w:r>
            <w:proofErr w:type="spellStart"/>
            <w:r w:rsidRPr="00821672">
              <w:rPr>
                <w:rFonts w:ascii="Times New Roman" w:eastAsia="Times New Roman" w:hAnsi="Times New Roman" w:cs="Times New Roman"/>
                <w:b/>
                <w:bCs/>
                <w:color w:val="000000"/>
                <w:sz w:val="28"/>
                <w:szCs w:val="28"/>
              </w:rPr>
              <w:t>розчинів</w:t>
            </w:r>
            <w:proofErr w:type="spellEnd"/>
            <w:r w:rsidRPr="00821672">
              <w:rPr>
                <w:rFonts w:ascii="Times New Roman" w:eastAsia="Times New Roman" w:hAnsi="Times New Roman" w:cs="Times New Roman"/>
                <w:b/>
                <w:bCs/>
                <w:color w:val="000000"/>
                <w:sz w:val="28"/>
                <w:szCs w:val="28"/>
              </w:rPr>
              <w:t xml:space="preserve"> та </w:t>
            </w:r>
            <w:proofErr w:type="spellStart"/>
            <w:r w:rsidRPr="00821672">
              <w:rPr>
                <w:rFonts w:ascii="Times New Roman" w:eastAsia="Times New Roman" w:hAnsi="Times New Roman" w:cs="Times New Roman"/>
                <w:b/>
                <w:bCs/>
                <w:color w:val="000000"/>
                <w:sz w:val="28"/>
                <w:szCs w:val="28"/>
              </w:rPr>
              <w:t>крові</w:t>
            </w:r>
            <w:proofErr w:type="spellEnd"/>
            <w:r w:rsidRPr="00821672">
              <w:rPr>
                <w:rFonts w:ascii="Times New Roman" w:eastAsia="Times New Roman" w:hAnsi="Times New Roman" w:cs="Times New Roman"/>
                <w:color w:val="000000"/>
                <w:sz w:val="28"/>
                <w:szCs w:val="28"/>
              </w:rPr>
              <w:t xml:space="preserve"> </w:t>
            </w:r>
          </w:p>
          <w:p w14:paraId="3C59E2BD" w14:textId="167DADE7" w:rsidR="00283DF1" w:rsidRDefault="00821672" w:rsidP="00107B86">
            <w:pPr>
              <w:spacing w:before="240" w:line="240" w:lineRule="auto"/>
              <w:jc w:val="center"/>
              <w:rPr>
                <w:rFonts w:ascii="Times New Roman" w:eastAsia="Times New Roman" w:hAnsi="Times New Roman" w:cs="Times New Roman"/>
                <w:color w:val="000000"/>
                <w:sz w:val="28"/>
                <w:szCs w:val="28"/>
              </w:rPr>
            </w:pPr>
            <w:r w:rsidRPr="00821672">
              <w:rPr>
                <w:rFonts w:ascii="Times New Roman" w:eastAsia="Times New Roman" w:hAnsi="Times New Roman" w:cs="Times New Roman"/>
                <w:color w:val="000000"/>
                <w:sz w:val="28"/>
                <w:szCs w:val="28"/>
              </w:rPr>
              <w:t xml:space="preserve">(ДК 021:2015: 33180000-5 - </w:t>
            </w:r>
            <w:proofErr w:type="spellStart"/>
            <w:r w:rsidRPr="00821672">
              <w:rPr>
                <w:rFonts w:ascii="Times New Roman" w:eastAsia="Times New Roman" w:hAnsi="Times New Roman" w:cs="Times New Roman"/>
                <w:color w:val="000000"/>
                <w:sz w:val="28"/>
                <w:szCs w:val="28"/>
              </w:rPr>
              <w:t>Апаратура</w:t>
            </w:r>
            <w:proofErr w:type="spellEnd"/>
            <w:r w:rsidRPr="00821672">
              <w:rPr>
                <w:rFonts w:ascii="Times New Roman" w:eastAsia="Times New Roman" w:hAnsi="Times New Roman" w:cs="Times New Roman"/>
                <w:color w:val="000000"/>
                <w:sz w:val="28"/>
                <w:szCs w:val="28"/>
              </w:rPr>
              <w:t xml:space="preserve"> для </w:t>
            </w:r>
            <w:proofErr w:type="spellStart"/>
            <w:r w:rsidRPr="00821672">
              <w:rPr>
                <w:rFonts w:ascii="Times New Roman" w:eastAsia="Times New Roman" w:hAnsi="Times New Roman" w:cs="Times New Roman"/>
                <w:color w:val="000000"/>
                <w:sz w:val="28"/>
                <w:szCs w:val="28"/>
              </w:rPr>
              <w:t>підтримування</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фізіологічних</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функцій</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організму</w:t>
            </w:r>
            <w:proofErr w:type="spellEnd"/>
            <w:r w:rsidRPr="00821672">
              <w:rPr>
                <w:rFonts w:ascii="Times New Roman" w:eastAsia="Times New Roman" w:hAnsi="Times New Roman" w:cs="Times New Roman"/>
                <w:color w:val="000000"/>
                <w:sz w:val="28"/>
                <w:szCs w:val="28"/>
              </w:rPr>
              <w:t xml:space="preserve"> (НК 024:2023 48048 </w:t>
            </w:r>
            <w:proofErr w:type="spellStart"/>
            <w:r w:rsidRPr="00821672">
              <w:rPr>
                <w:rFonts w:ascii="Times New Roman" w:eastAsia="Times New Roman" w:hAnsi="Times New Roman" w:cs="Times New Roman"/>
                <w:color w:val="000000"/>
                <w:sz w:val="28"/>
                <w:szCs w:val="28"/>
              </w:rPr>
              <w:t>Дефібрилятор</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зовнішній</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автоматичний</w:t>
            </w:r>
            <w:proofErr w:type="spellEnd"/>
            <w:r w:rsidRPr="00821672">
              <w:rPr>
                <w:rFonts w:ascii="Times New Roman" w:eastAsia="Times New Roman" w:hAnsi="Times New Roman" w:cs="Times New Roman"/>
                <w:color w:val="000000"/>
                <w:sz w:val="28"/>
                <w:szCs w:val="28"/>
              </w:rPr>
              <w:t xml:space="preserve"> для </w:t>
            </w:r>
            <w:proofErr w:type="spellStart"/>
            <w:r w:rsidRPr="00821672">
              <w:rPr>
                <w:rFonts w:ascii="Times New Roman" w:eastAsia="Times New Roman" w:hAnsi="Times New Roman" w:cs="Times New Roman"/>
                <w:color w:val="000000"/>
                <w:sz w:val="28"/>
                <w:szCs w:val="28"/>
              </w:rPr>
              <w:t>професійного</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використання</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що</w:t>
            </w:r>
            <w:proofErr w:type="spellEnd"/>
            <w:r w:rsidRPr="00821672">
              <w:rPr>
                <w:rFonts w:ascii="Times New Roman" w:eastAsia="Times New Roman" w:hAnsi="Times New Roman" w:cs="Times New Roman"/>
                <w:color w:val="000000"/>
                <w:sz w:val="28"/>
                <w:szCs w:val="28"/>
              </w:rPr>
              <w:t xml:space="preserve"> живиться </w:t>
            </w:r>
            <w:proofErr w:type="spellStart"/>
            <w:r w:rsidRPr="00821672">
              <w:rPr>
                <w:rFonts w:ascii="Times New Roman" w:eastAsia="Times New Roman" w:hAnsi="Times New Roman" w:cs="Times New Roman"/>
                <w:color w:val="000000"/>
                <w:sz w:val="28"/>
                <w:szCs w:val="28"/>
              </w:rPr>
              <w:t>від</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акумуляторної</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батареї</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Дефібрилятор</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зовнішній</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автоматичний</w:t>
            </w:r>
            <w:proofErr w:type="spellEnd"/>
            <w:r w:rsidRPr="00821672">
              <w:rPr>
                <w:rFonts w:ascii="Times New Roman" w:eastAsia="Times New Roman" w:hAnsi="Times New Roman" w:cs="Times New Roman"/>
                <w:color w:val="000000"/>
                <w:sz w:val="28"/>
                <w:szCs w:val="28"/>
              </w:rPr>
              <w:t xml:space="preserve">), 47616 - </w:t>
            </w:r>
            <w:proofErr w:type="spellStart"/>
            <w:r w:rsidRPr="00821672">
              <w:rPr>
                <w:rFonts w:ascii="Times New Roman" w:eastAsia="Times New Roman" w:hAnsi="Times New Roman" w:cs="Times New Roman"/>
                <w:color w:val="000000"/>
                <w:sz w:val="28"/>
                <w:szCs w:val="28"/>
              </w:rPr>
              <w:t>Апарат</w:t>
            </w:r>
            <w:proofErr w:type="spellEnd"/>
            <w:r w:rsidRPr="00821672">
              <w:rPr>
                <w:rFonts w:ascii="Times New Roman" w:eastAsia="Times New Roman" w:hAnsi="Times New Roman" w:cs="Times New Roman"/>
                <w:color w:val="000000"/>
                <w:sz w:val="28"/>
                <w:szCs w:val="28"/>
              </w:rPr>
              <w:t xml:space="preserve"> для </w:t>
            </w:r>
            <w:proofErr w:type="spellStart"/>
            <w:r w:rsidRPr="00821672">
              <w:rPr>
                <w:rFonts w:ascii="Times New Roman" w:eastAsia="Times New Roman" w:hAnsi="Times New Roman" w:cs="Times New Roman"/>
                <w:color w:val="000000"/>
                <w:sz w:val="28"/>
                <w:szCs w:val="28"/>
              </w:rPr>
              <w:t>кондуктивного</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підігріву</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крові</w:t>
            </w:r>
            <w:proofErr w:type="spellEnd"/>
            <w:r w:rsidRPr="00821672">
              <w:rPr>
                <w:rFonts w:ascii="Times New Roman" w:eastAsia="Times New Roman" w:hAnsi="Times New Roman" w:cs="Times New Roman"/>
                <w:color w:val="000000"/>
                <w:sz w:val="28"/>
                <w:szCs w:val="28"/>
              </w:rPr>
              <w:t xml:space="preserve"> / </w:t>
            </w:r>
            <w:proofErr w:type="spellStart"/>
            <w:r w:rsidRPr="00821672">
              <w:rPr>
                <w:rFonts w:ascii="Times New Roman" w:eastAsia="Times New Roman" w:hAnsi="Times New Roman" w:cs="Times New Roman"/>
                <w:color w:val="000000"/>
                <w:sz w:val="28"/>
                <w:szCs w:val="28"/>
              </w:rPr>
              <w:t>інфузійних</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розчинів</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Підігрівач</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інфузійних</w:t>
            </w:r>
            <w:proofErr w:type="spellEnd"/>
            <w:r w:rsidRPr="00821672">
              <w:rPr>
                <w:rFonts w:ascii="Times New Roman" w:eastAsia="Times New Roman" w:hAnsi="Times New Roman" w:cs="Times New Roman"/>
                <w:color w:val="000000"/>
                <w:sz w:val="28"/>
                <w:szCs w:val="28"/>
              </w:rPr>
              <w:t xml:space="preserve"> </w:t>
            </w:r>
            <w:proofErr w:type="spellStart"/>
            <w:r w:rsidRPr="00821672">
              <w:rPr>
                <w:rFonts w:ascii="Times New Roman" w:eastAsia="Times New Roman" w:hAnsi="Times New Roman" w:cs="Times New Roman"/>
                <w:color w:val="000000"/>
                <w:sz w:val="28"/>
                <w:szCs w:val="28"/>
              </w:rPr>
              <w:t>розчинів</w:t>
            </w:r>
            <w:proofErr w:type="spellEnd"/>
            <w:r w:rsidRPr="00821672">
              <w:rPr>
                <w:rFonts w:ascii="Times New Roman" w:eastAsia="Times New Roman" w:hAnsi="Times New Roman" w:cs="Times New Roman"/>
                <w:color w:val="000000"/>
                <w:sz w:val="28"/>
                <w:szCs w:val="28"/>
              </w:rPr>
              <w:t xml:space="preserve"> та </w:t>
            </w:r>
            <w:proofErr w:type="spellStart"/>
            <w:r w:rsidRPr="00821672">
              <w:rPr>
                <w:rFonts w:ascii="Times New Roman" w:eastAsia="Times New Roman" w:hAnsi="Times New Roman" w:cs="Times New Roman"/>
                <w:color w:val="000000"/>
                <w:sz w:val="28"/>
                <w:szCs w:val="28"/>
              </w:rPr>
              <w:t>крові</w:t>
            </w:r>
            <w:proofErr w:type="spellEnd"/>
            <w:r w:rsidRPr="00821672">
              <w:rPr>
                <w:rFonts w:ascii="Times New Roman" w:eastAsia="Times New Roman" w:hAnsi="Times New Roman" w:cs="Times New Roman"/>
                <w:color w:val="000000"/>
                <w:sz w:val="28"/>
                <w:szCs w:val="28"/>
              </w:rPr>
              <w:t>))</w:t>
            </w:r>
          </w:p>
        </w:tc>
      </w:tr>
      <w:bookmarkEnd w:id="0"/>
      <w:tr w:rsidR="009C03C4" w14:paraId="590ECEEC" w14:textId="77777777">
        <w:tc>
          <w:tcPr>
            <w:tcW w:w="10165" w:type="dxa"/>
            <w:tcBorders>
              <w:top w:val="nil"/>
              <w:left w:val="nil"/>
              <w:bottom w:val="nil"/>
              <w:right w:val="nil"/>
            </w:tcBorders>
          </w:tcPr>
          <w:p w14:paraId="72B3068A" w14:textId="77777777" w:rsidR="009C03C4" w:rsidRDefault="009C03C4">
            <w:pPr>
              <w:spacing w:line="240" w:lineRule="auto"/>
              <w:rPr>
                <w:rFonts w:ascii="Times New Roman" w:eastAsia="Times New Roman" w:hAnsi="Times New Roman" w:cs="Times New Roman"/>
                <w:color w:val="000000"/>
                <w:sz w:val="28"/>
                <w:szCs w:val="28"/>
              </w:rPr>
            </w:pPr>
          </w:p>
        </w:tc>
      </w:tr>
    </w:tbl>
    <w:p w14:paraId="28251811" w14:textId="77777777" w:rsidR="009C03C4" w:rsidRDefault="009C03C4">
      <w:pPr>
        <w:spacing w:line="240" w:lineRule="auto"/>
        <w:jc w:val="center"/>
        <w:rPr>
          <w:rFonts w:ascii="Times New Roman" w:eastAsia="Times New Roman" w:hAnsi="Times New Roman" w:cs="Times New Roman"/>
          <w:color w:val="000000"/>
          <w:sz w:val="24"/>
          <w:szCs w:val="24"/>
        </w:rPr>
      </w:pPr>
    </w:p>
    <w:p w14:paraId="3218FFF8" w14:textId="77777777" w:rsidR="009C03C4"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77777777"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Pr="004F41A5">
        <w:rPr>
          <w:rFonts w:ascii="Times New Roman" w:eastAsia="Times New Roman" w:hAnsi="Times New Roman" w:cs="Times New Roman"/>
          <w:b/>
          <w:kern w:val="3"/>
          <w:sz w:val="28"/>
          <w:szCs w:val="28"/>
          <w:lang w:val="uk-UA" w:eastAsia="ar-SA"/>
        </w:rPr>
        <w:t>3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77777777"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0682410717, </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16BF1AE" w14:textId="77777777" w:rsidR="00821672" w:rsidRDefault="00821672" w:rsidP="00F8097E">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821672">
              <w:rPr>
                <w:rFonts w:ascii="Times New Roman" w:eastAsia="Times New Roman" w:hAnsi="Times New Roman" w:cs="Times New Roman"/>
                <w:bCs/>
                <w:spacing w:val="-3"/>
                <w:sz w:val="24"/>
                <w:szCs w:val="24"/>
                <w:lang w:val="uk-UA" w:eastAsia="en-US"/>
              </w:rPr>
              <w:t xml:space="preserve">Дефібрилятор зовнішній автоматичний, </w:t>
            </w:r>
          </w:p>
          <w:p w14:paraId="25BC35DC" w14:textId="406AEF52" w:rsidR="00821672" w:rsidRDefault="00821672" w:rsidP="00F8097E">
            <w:pPr>
              <w:widowControl w:val="0"/>
              <w:spacing w:before="120" w:after="120" w:line="240" w:lineRule="auto"/>
              <w:ind w:right="113" w:hanging="2"/>
              <w:jc w:val="both"/>
              <w:rPr>
                <w:rFonts w:ascii="Times New Roman" w:eastAsia="Times New Roman" w:hAnsi="Times New Roman" w:cs="Times New Roman"/>
                <w:bCs/>
                <w:spacing w:val="-3"/>
                <w:sz w:val="24"/>
                <w:szCs w:val="24"/>
                <w:lang w:val="uk-UA" w:eastAsia="en-US"/>
              </w:rPr>
            </w:pPr>
            <w:r w:rsidRPr="00821672">
              <w:rPr>
                <w:rFonts w:ascii="Times New Roman" w:eastAsia="Times New Roman" w:hAnsi="Times New Roman" w:cs="Times New Roman"/>
                <w:bCs/>
                <w:spacing w:val="-3"/>
                <w:sz w:val="24"/>
                <w:szCs w:val="24"/>
                <w:lang w:val="uk-UA" w:eastAsia="en-US"/>
              </w:rPr>
              <w:t xml:space="preserve">Підігрівач </w:t>
            </w:r>
            <w:proofErr w:type="spellStart"/>
            <w:r w:rsidRPr="00821672">
              <w:rPr>
                <w:rFonts w:ascii="Times New Roman" w:eastAsia="Times New Roman" w:hAnsi="Times New Roman" w:cs="Times New Roman"/>
                <w:bCs/>
                <w:spacing w:val="-3"/>
                <w:sz w:val="24"/>
                <w:szCs w:val="24"/>
                <w:lang w:val="uk-UA" w:eastAsia="en-US"/>
              </w:rPr>
              <w:t>інфузійних</w:t>
            </w:r>
            <w:proofErr w:type="spellEnd"/>
            <w:r w:rsidRPr="00821672">
              <w:rPr>
                <w:rFonts w:ascii="Times New Roman" w:eastAsia="Times New Roman" w:hAnsi="Times New Roman" w:cs="Times New Roman"/>
                <w:bCs/>
                <w:spacing w:val="-3"/>
                <w:sz w:val="24"/>
                <w:szCs w:val="24"/>
                <w:lang w:val="uk-UA" w:eastAsia="en-US"/>
              </w:rPr>
              <w:t xml:space="preserve"> розчинів та крові </w:t>
            </w:r>
          </w:p>
          <w:p w14:paraId="10BDC918" w14:textId="1C05CDFD" w:rsidR="00283DF1" w:rsidRPr="00AA5087" w:rsidRDefault="00821672" w:rsidP="00F8097E">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672">
              <w:rPr>
                <w:rFonts w:ascii="Times New Roman" w:eastAsia="Times New Roman" w:hAnsi="Times New Roman" w:cs="Times New Roman"/>
                <w:bCs/>
                <w:spacing w:val="-3"/>
                <w:sz w:val="24"/>
                <w:szCs w:val="24"/>
                <w:lang w:val="uk-UA" w:eastAsia="en-US"/>
              </w:rPr>
              <w:t xml:space="preserve">(ДК 021:2015: 33180000-5 - Апаратура для підтримування фізіологічних функцій організму (НК 024:2023 48048 Дефібрилятор зовнішній автоматичний для професійного використання, що живиться від акумуляторної батареї (Дефібрилятор зовнішній автоматичний), 47616 - Апарат для </w:t>
            </w:r>
            <w:proofErr w:type="spellStart"/>
            <w:r w:rsidRPr="00821672">
              <w:rPr>
                <w:rFonts w:ascii="Times New Roman" w:eastAsia="Times New Roman" w:hAnsi="Times New Roman" w:cs="Times New Roman"/>
                <w:bCs/>
                <w:spacing w:val="-3"/>
                <w:sz w:val="24"/>
                <w:szCs w:val="24"/>
                <w:lang w:val="uk-UA" w:eastAsia="en-US"/>
              </w:rPr>
              <w:t>кондуктивного</w:t>
            </w:r>
            <w:proofErr w:type="spellEnd"/>
            <w:r w:rsidRPr="00821672">
              <w:rPr>
                <w:rFonts w:ascii="Times New Roman" w:eastAsia="Times New Roman" w:hAnsi="Times New Roman" w:cs="Times New Roman"/>
                <w:bCs/>
                <w:spacing w:val="-3"/>
                <w:sz w:val="24"/>
                <w:szCs w:val="24"/>
                <w:lang w:val="uk-UA" w:eastAsia="en-US"/>
              </w:rPr>
              <w:t xml:space="preserve"> підігріву крові / </w:t>
            </w:r>
            <w:proofErr w:type="spellStart"/>
            <w:r w:rsidRPr="00821672">
              <w:rPr>
                <w:rFonts w:ascii="Times New Roman" w:eastAsia="Times New Roman" w:hAnsi="Times New Roman" w:cs="Times New Roman"/>
                <w:bCs/>
                <w:spacing w:val="-3"/>
                <w:sz w:val="24"/>
                <w:szCs w:val="24"/>
                <w:lang w:val="uk-UA" w:eastAsia="en-US"/>
              </w:rPr>
              <w:t>інфузійних</w:t>
            </w:r>
            <w:proofErr w:type="spellEnd"/>
            <w:r w:rsidRPr="00821672">
              <w:rPr>
                <w:rFonts w:ascii="Times New Roman" w:eastAsia="Times New Roman" w:hAnsi="Times New Roman" w:cs="Times New Roman"/>
                <w:bCs/>
                <w:spacing w:val="-3"/>
                <w:sz w:val="24"/>
                <w:szCs w:val="24"/>
                <w:lang w:val="uk-UA" w:eastAsia="en-US"/>
              </w:rPr>
              <w:t xml:space="preserve"> розчинів (Підігрівач </w:t>
            </w:r>
            <w:proofErr w:type="spellStart"/>
            <w:r w:rsidRPr="00821672">
              <w:rPr>
                <w:rFonts w:ascii="Times New Roman" w:eastAsia="Times New Roman" w:hAnsi="Times New Roman" w:cs="Times New Roman"/>
                <w:bCs/>
                <w:spacing w:val="-3"/>
                <w:sz w:val="24"/>
                <w:szCs w:val="24"/>
                <w:lang w:val="uk-UA" w:eastAsia="en-US"/>
              </w:rPr>
              <w:t>інфузійних</w:t>
            </w:r>
            <w:proofErr w:type="spellEnd"/>
            <w:r w:rsidRPr="00821672">
              <w:rPr>
                <w:rFonts w:ascii="Times New Roman" w:eastAsia="Times New Roman" w:hAnsi="Times New Roman" w:cs="Times New Roman"/>
                <w:bCs/>
                <w:spacing w:val="-3"/>
                <w:sz w:val="24"/>
                <w:szCs w:val="24"/>
                <w:lang w:val="uk-UA" w:eastAsia="en-US"/>
              </w:rPr>
              <w:t xml:space="preserve"> розчинів та крові))</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41A5C180"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r w:rsidR="00821672">
              <w:rPr>
                <w:rFonts w:ascii="Times New Roman" w:eastAsia="Times New Roman" w:hAnsi="Times New Roman" w:cs="Times New Roman"/>
                <w:sz w:val="24"/>
                <w:szCs w:val="24"/>
                <w:lang w:val="uk-UA"/>
              </w:rPr>
              <w:t>2</w:t>
            </w:r>
            <w:r w:rsidR="00B9666A">
              <w:rPr>
                <w:rFonts w:ascii="Times New Roman" w:eastAsia="Times New Roman" w:hAnsi="Times New Roman" w:cs="Times New Roman"/>
                <w:sz w:val="24"/>
                <w:szCs w:val="24"/>
                <w:lang w:val="uk-UA"/>
              </w:rPr>
              <w:t xml:space="preserve"> шт.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7BEB6EF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31 грудня 202</w:t>
            </w:r>
            <w:r>
              <w:rPr>
                <w:rFonts w:ascii="Times New Roman" w:eastAsia="Calibri" w:hAnsi="Times New Roman" w:cs="Times New Roman"/>
                <w:color w:val="000000"/>
                <w:sz w:val="24"/>
                <w:szCs w:val="24"/>
                <w:lang w:val="uk-UA" w:eastAsia="en-US"/>
              </w:rPr>
              <w:t>3</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0D5D917F" w:rsidR="009C03C4" w:rsidRDefault="00821672">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92 270,00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w:t>
            </w:r>
            <w:r w:rsidRPr="003517DD">
              <w:rPr>
                <w:rFonts w:ascii="Times New Roman" w:eastAsia="Times New Roman" w:hAnsi="Times New Roman" w:cs="Times New Roman"/>
                <w:color w:val="000000"/>
                <w:sz w:val="24"/>
                <w:szCs w:val="24"/>
              </w:rPr>
              <w:lastRenderedPageBreak/>
              <w:t xml:space="preserve">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lastRenderedPageBreak/>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w:t>
            </w:r>
            <w:r w:rsidRPr="00272DA8">
              <w:rPr>
                <w:rFonts w:ascii="Times New Roman" w:eastAsia="Times New Roman" w:hAnsi="Times New Roman" w:cs="Times New Roman"/>
                <w:sz w:val="24"/>
                <w:szCs w:val="24"/>
                <w:lang w:val="uk-UA" w:eastAsia="ru-RU"/>
              </w:rPr>
              <w:lastRenderedPageBreak/>
              <w:t>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272DA8">
              <w:rPr>
                <w:rFonts w:ascii="Times New Roman" w:eastAsia="Times New Roman" w:hAnsi="Times New Roman" w:cs="Times New Roman"/>
                <w:sz w:val="24"/>
                <w:szCs w:val="24"/>
                <w:lang w:val="uk-UA" w:eastAsia="ru-RU"/>
              </w:rPr>
              <w:lastRenderedPageBreak/>
              <w:t>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1) документи мають бути чіткими та розбірливими для </w:t>
            </w:r>
            <w:r w:rsidRPr="00272DA8">
              <w:rPr>
                <w:rFonts w:ascii="Times New Roman" w:eastAsia="Times New Roman" w:hAnsi="Times New Roman" w:cs="Times New Roman"/>
                <w:sz w:val="24"/>
                <w:szCs w:val="24"/>
                <w:lang w:val="uk-UA" w:eastAsia="ru-RU"/>
              </w:rPr>
              <w:lastRenderedPageBreak/>
              <w:t>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на роботу,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lastRenderedPageBreak/>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w:t>
            </w:r>
            <w:r w:rsidRPr="00AE0365">
              <w:rPr>
                <w:rFonts w:ascii="Times New Roman" w:eastAsia="Times New Roman" w:hAnsi="Times New Roman" w:cs="Times New Roman"/>
                <w:bCs/>
                <w:color w:val="000000"/>
                <w:sz w:val="24"/>
                <w:szCs w:val="24"/>
              </w:rPr>
              <w:lastRenderedPageBreak/>
              <w:t xml:space="preserve">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30401B8B" w:rsidR="001D1804" w:rsidRPr="00E1660D" w:rsidRDefault="00821672" w:rsidP="00837072">
            <w:pPr>
              <w:widowControl w:val="0"/>
              <w:spacing w:before="48" w:line="240" w:lineRule="auto"/>
              <w:ind w:left="394" w:right="113"/>
              <w:jc w:val="both"/>
              <w:rPr>
                <w:color w:val="000000" w:themeColor="text1"/>
              </w:rPr>
            </w:pPr>
            <w:r>
              <w:rPr>
                <w:rFonts w:ascii="Times New Roman" w:eastAsia="Times New Roman" w:hAnsi="Times New Roman"/>
                <w:color w:val="000000" w:themeColor="text1"/>
                <w:sz w:val="24"/>
                <w:szCs w:val="24"/>
                <w:lang w:val="uk-UA" w:eastAsia="ru-RU"/>
              </w:rPr>
              <w:t>16</w:t>
            </w:r>
            <w:r w:rsidR="00D11C76" w:rsidRPr="00E1660D">
              <w:rPr>
                <w:rFonts w:ascii="Times New Roman" w:eastAsia="Times New Roman" w:hAnsi="Times New Roman"/>
                <w:color w:val="000000" w:themeColor="text1"/>
                <w:sz w:val="24"/>
                <w:szCs w:val="24"/>
                <w:lang w:val="uk-UA" w:eastAsia="ru-RU"/>
              </w:rPr>
              <w:t>.</w:t>
            </w:r>
            <w:r>
              <w:rPr>
                <w:rFonts w:ascii="Times New Roman" w:eastAsia="Times New Roman" w:hAnsi="Times New Roman"/>
                <w:color w:val="000000" w:themeColor="text1"/>
                <w:sz w:val="24"/>
                <w:szCs w:val="24"/>
                <w:lang w:val="uk-UA" w:eastAsia="ru-RU"/>
              </w:rPr>
              <w:t>12.</w:t>
            </w:r>
            <w:r w:rsidR="00D11C76" w:rsidRPr="00E1660D">
              <w:rPr>
                <w:rFonts w:ascii="Times New Roman" w:eastAsia="Times New Roman" w:hAnsi="Times New Roman"/>
                <w:color w:val="000000" w:themeColor="text1"/>
                <w:sz w:val="24"/>
                <w:szCs w:val="24"/>
                <w:lang w:val="uk-UA" w:eastAsia="ru-RU"/>
              </w:rPr>
              <w:t xml:space="preserve">2023 </w:t>
            </w:r>
            <w:r w:rsidR="00AC010B" w:rsidRPr="00E1660D">
              <w:rPr>
                <w:rFonts w:ascii="Times New Roman" w:eastAsia="Times New Roman" w:hAnsi="Times New Roman"/>
                <w:color w:val="000000" w:themeColor="text1"/>
                <w:sz w:val="24"/>
                <w:szCs w:val="24"/>
                <w:lang w:val="uk-UA" w:eastAsia="ru-RU"/>
              </w:rPr>
              <w:t>р. до 00 год. 00 хв.</w:t>
            </w:r>
            <w:r w:rsidR="001D1804" w:rsidRPr="00E1660D">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lastRenderedPageBreak/>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lastRenderedPageBreak/>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 .</w:t>
            </w:r>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у списку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lastRenderedPageBreak/>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w:t>
            </w:r>
            <w:r>
              <w:rPr>
                <w:rFonts w:ascii="Times New Roman" w:eastAsia="Times New Roman" w:hAnsi="Times New Roman" w:cs="Times New Roman"/>
                <w:color w:val="000000"/>
                <w:sz w:val="24"/>
                <w:szCs w:val="24"/>
              </w:rPr>
              <w:lastRenderedPageBreak/>
              <w:t xml:space="preserve">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5D0DEC">
              <w:rPr>
                <w:rFonts w:ascii="Times New Roman" w:eastAsia="Calibri" w:hAnsi="Times New Roman" w:cs="Times New Roman"/>
                <w:sz w:val="24"/>
                <w:szCs w:val="24"/>
                <w:lang w:val="uk-UA" w:eastAsia="en-US"/>
              </w:rPr>
              <w:lastRenderedPageBreak/>
              <w:t xml:space="preserve">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надав у спосіб, зазначений в тендерній документації, </w:t>
            </w:r>
            <w:r w:rsidRPr="005D0DEC">
              <w:rPr>
                <w:rFonts w:ascii="Times New Roman" w:eastAsia="Calibri" w:hAnsi="Times New Roman" w:cs="Times New Roman"/>
                <w:sz w:val="24"/>
                <w:szCs w:val="24"/>
                <w:lang w:val="uk-UA" w:eastAsia="en-US"/>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77777777"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w:t>
            </w:r>
            <w:proofErr w:type="spellStart"/>
            <w:r>
              <w:rPr>
                <w:rFonts w:ascii="Times New Roman" w:eastAsia="Times New Roman" w:hAnsi="Times New Roman" w:cs="Times New Roman"/>
                <w:color w:val="000000"/>
                <w:sz w:val="24"/>
                <w:szCs w:val="24"/>
              </w:rPr>
              <w:lastRenderedPageBreak/>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77777777" w:rsidR="001D1804" w:rsidRDefault="001D1804"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проект договору </w:t>
            </w:r>
            <w:proofErr w:type="spellStart"/>
            <w:r>
              <w:rPr>
                <w:rFonts w:ascii="Times New Roman" w:eastAsia="Times New Roman" w:hAnsi="Times New Roman" w:cs="Times New Roman"/>
                <w:color w:val="000000"/>
                <w:sz w:val="24"/>
                <w:szCs w:val="24"/>
              </w:rPr>
              <w:t>складається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особливостей</w:t>
            </w:r>
            <w:proofErr w:type="spellEnd"/>
            <w:r>
              <w:rPr>
                <w:rFonts w:ascii="Times New Roman" w:eastAsia="Times New Roman" w:hAnsi="Times New Roman" w:cs="Times New Roman"/>
                <w:color w:val="000000"/>
                <w:sz w:val="24"/>
                <w:szCs w:val="24"/>
              </w:rPr>
              <w:t xml:space="preserve"> предмету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5D747081"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77777777" w:rsidR="001D1804" w:rsidRDefault="001D1804" w:rsidP="001D180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ще</w:t>
            </w:r>
            <w:proofErr w:type="spellEnd"/>
            <w:r>
              <w:rPr>
                <w:rFonts w:ascii="Times New Roman" w:eastAsia="Times New Roman" w:hAnsi="Times New Roman" w:cs="Times New Roman"/>
                <w:color w:val="000000"/>
                <w:sz w:val="24"/>
                <w:szCs w:val="24"/>
              </w:rPr>
              <w:t xml:space="preserve"> не минув</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4315"/>
    <w:rsid w:val="000F4B98"/>
    <w:rsid w:val="0010076B"/>
    <w:rsid w:val="00107B86"/>
    <w:rsid w:val="00170584"/>
    <w:rsid w:val="001B6EB7"/>
    <w:rsid w:val="001D1804"/>
    <w:rsid w:val="00202B2D"/>
    <w:rsid w:val="00202F9A"/>
    <w:rsid w:val="00206DBC"/>
    <w:rsid w:val="00240A0D"/>
    <w:rsid w:val="00272DA8"/>
    <w:rsid w:val="00283DF1"/>
    <w:rsid w:val="002B4BAC"/>
    <w:rsid w:val="00322D7A"/>
    <w:rsid w:val="003517DD"/>
    <w:rsid w:val="003518A1"/>
    <w:rsid w:val="003B6426"/>
    <w:rsid w:val="003C3BC9"/>
    <w:rsid w:val="003C615D"/>
    <w:rsid w:val="003D4B77"/>
    <w:rsid w:val="003F1DE4"/>
    <w:rsid w:val="004073C7"/>
    <w:rsid w:val="0044017D"/>
    <w:rsid w:val="00461ACC"/>
    <w:rsid w:val="004638CF"/>
    <w:rsid w:val="00463C40"/>
    <w:rsid w:val="00481F0E"/>
    <w:rsid w:val="004839A0"/>
    <w:rsid w:val="00487BE1"/>
    <w:rsid w:val="00493B0A"/>
    <w:rsid w:val="004A11B2"/>
    <w:rsid w:val="004A368B"/>
    <w:rsid w:val="004C1F6D"/>
    <w:rsid w:val="004D4019"/>
    <w:rsid w:val="004D5001"/>
    <w:rsid w:val="004F41A5"/>
    <w:rsid w:val="0050015F"/>
    <w:rsid w:val="00541EC3"/>
    <w:rsid w:val="0054610F"/>
    <w:rsid w:val="0056436E"/>
    <w:rsid w:val="00570366"/>
    <w:rsid w:val="005B07B7"/>
    <w:rsid w:val="005D0DEC"/>
    <w:rsid w:val="005F0AEA"/>
    <w:rsid w:val="00653BA4"/>
    <w:rsid w:val="00676B95"/>
    <w:rsid w:val="00691E61"/>
    <w:rsid w:val="006C36BE"/>
    <w:rsid w:val="006F5985"/>
    <w:rsid w:val="0071570D"/>
    <w:rsid w:val="00766AE4"/>
    <w:rsid w:val="00771823"/>
    <w:rsid w:val="007B33A1"/>
    <w:rsid w:val="007C382A"/>
    <w:rsid w:val="007C5B27"/>
    <w:rsid w:val="007C76A0"/>
    <w:rsid w:val="007E1A8F"/>
    <w:rsid w:val="007F106B"/>
    <w:rsid w:val="008008D4"/>
    <w:rsid w:val="00810592"/>
    <w:rsid w:val="00821672"/>
    <w:rsid w:val="00837072"/>
    <w:rsid w:val="0085476A"/>
    <w:rsid w:val="008C0BDE"/>
    <w:rsid w:val="0090160C"/>
    <w:rsid w:val="009032C5"/>
    <w:rsid w:val="00911F01"/>
    <w:rsid w:val="00980758"/>
    <w:rsid w:val="009906D1"/>
    <w:rsid w:val="009C03C4"/>
    <w:rsid w:val="009F7054"/>
    <w:rsid w:val="00A21D8A"/>
    <w:rsid w:val="00A46A05"/>
    <w:rsid w:val="00A57CF3"/>
    <w:rsid w:val="00A6417F"/>
    <w:rsid w:val="00A938BE"/>
    <w:rsid w:val="00AA5087"/>
    <w:rsid w:val="00AC010B"/>
    <w:rsid w:val="00AC5B21"/>
    <w:rsid w:val="00AE0365"/>
    <w:rsid w:val="00AF1C17"/>
    <w:rsid w:val="00B02D5F"/>
    <w:rsid w:val="00B8734A"/>
    <w:rsid w:val="00B9666A"/>
    <w:rsid w:val="00BD5E64"/>
    <w:rsid w:val="00BE1ADE"/>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E1660D"/>
    <w:rsid w:val="00EC3262"/>
    <w:rsid w:val="00EE4FD5"/>
    <w:rsid w:val="00EF6580"/>
    <w:rsid w:val="00F00518"/>
    <w:rsid w:val="00F32F90"/>
    <w:rsid w:val="00F8097E"/>
    <w:rsid w:val="00F85595"/>
    <w:rsid w:val="00F90D5B"/>
    <w:rsid w:val="00FC564E"/>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24</Pages>
  <Words>36100</Words>
  <Characters>20578</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81</cp:revision>
  <dcterms:created xsi:type="dcterms:W3CDTF">2022-10-25T11:00:00Z</dcterms:created>
  <dcterms:modified xsi:type="dcterms:W3CDTF">2023-12-08T11:36:00Z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