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CPV </w:t>
      </w:r>
      <w:r w:rsidR="00786B49" w:rsidRPr="00786B49">
        <w:rPr>
          <w:sz w:val="24"/>
          <w:szCs w:val="24"/>
          <w:lang w:val="uk-UA"/>
        </w:rPr>
        <w:t>15240000-2  по ДК 021:2015 - Рибні консерви та інші рибні страви та пресерви (Рибні консерви)</w:t>
      </w:r>
      <w:r w:rsidR="00786B49">
        <w:rPr>
          <w:sz w:val="24"/>
          <w:szCs w:val="24"/>
          <w:lang w:val="uk-UA"/>
        </w:rPr>
        <w:t xml:space="preserve">, </w:t>
      </w:r>
      <w:bookmarkStart w:id="0" w:name="_GoBack"/>
      <w:bookmarkEnd w:id="0"/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CD657E">
        <w:rPr>
          <w:sz w:val="24"/>
          <w:szCs w:val="24"/>
          <w:lang w:val="uk-UA" w:eastAsia="uk-UA"/>
        </w:rPr>
        <w:t>2022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CD657E">
        <w:rPr>
          <w:sz w:val="24"/>
          <w:szCs w:val="24"/>
          <w:lang w:val="uk-UA" w:eastAsia="uk-UA"/>
        </w:rPr>
        <w:t>.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Pr="00656A97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</w:t>
      </w:r>
      <w:r w:rsidR="009C5765" w:rsidRPr="00656A97">
        <w:rPr>
          <w:sz w:val="24"/>
          <w:szCs w:val="24"/>
          <w:lang w:val="uk-UA"/>
        </w:rPr>
        <w:t>будь-яких зобов’язань, пов'язаних з якістю та комплектністю, є місто Южноукраїнськ</w:t>
      </w:r>
      <w:r w:rsidR="003C337C" w:rsidRPr="00656A97">
        <w:rPr>
          <w:sz w:val="24"/>
          <w:szCs w:val="24"/>
        </w:rPr>
        <w:t>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</w:rPr>
        <w:t>1</w:t>
      </w:r>
      <w:r w:rsidRPr="00656A9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656A97">
        <w:rPr>
          <w:sz w:val="24"/>
          <w:szCs w:val="24"/>
          <w:lang w:val="uk-UA"/>
        </w:rPr>
        <w:t>бенефіціарного</w:t>
      </w:r>
      <w:proofErr w:type="spellEnd"/>
      <w:r w:rsidRPr="00656A9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656A9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330B41" w:rsidRPr="00CD657E" w:rsidRDefault="00330B41" w:rsidP="00330B41">
      <w:pPr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CD657E">
        <w:rPr>
          <w:color w:val="000000" w:themeColor="text1"/>
          <w:sz w:val="24"/>
          <w:szCs w:val="24"/>
          <w:lang w:val="uk-UA"/>
        </w:rPr>
        <w:t xml:space="preserve">1.7 Дана закупівля здійснюється згідно Законів України «Про публічні закупівлі», «Про оборонні закупівлі», на підставі Постанови КМУ від 12.10.2022 № 1178 </w:t>
      </w:r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Про затвердження особливостей здійснення публічних </w:t>
      </w:r>
      <w:proofErr w:type="spellStart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D657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скасування.</w:t>
      </w:r>
    </w:p>
    <w:p w:rsidR="00330B41" w:rsidRPr="00C837E6" w:rsidRDefault="00330B41" w:rsidP="00330B41">
      <w:pPr>
        <w:ind w:firstLine="426"/>
        <w:jc w:val="both"/>
        <w:rPr>
          <w:sz w:val="24"/>
          <w:szCs w:val="24"/>
          <w:lang w:val="uk-UA"/>
        </w:rPr>
      </w:pPr>
    </w:p>
    <w:p w:rsidR="006C23EF" w:rsidRPr="00656A97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656A97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656A97">
        <w:rPr>
          <w:b/>
          <w:sz w:val="24"/>
          <w:szCs w:val="24"/>
          <w:lang w:val="uk-UA" w:eastAsia="uk-UA"/>
        </w:rPr>
        <w:t xml:space="preserve">2 </w:t>
      </w:r>
      <w:r w:rsidR="00DE2405" w:rsidRPr="00656A97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656A97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656A97">
        <w:rPr>
          <w:sz w:val="24"/>
          <w:szCs w:val="24"/>
          <w:lang w:val="uk-UA"/>
        </w:rPr>
        <w:t>2.1 Загальна вартість товару є твердою та складає</w:t>
      </w:r>
      <w:r w:rsidRPr="00656A97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656A97">
        <w:rPr>
          <w:b/>
          <w:sz w:val="24"/>
          <w:szCs w:val="24"/>
          <w:lang w:val="uk-UA"/>
        </w:rPr>
        <w:t>разом: _</w:t>
      </w:r>
      <w:r w:rsidR="0022583C" w:rsidRPr="00656A97">
        <w:rPr>
          <w:b/>
          <w:sz w:val="24"/>
          <w:szCs w:val="24"/>
          <w:lang w:val="uk-UA"/>
        </w:rPr>
        <w:t>___________</w:t>
      </w:r>
      <w:r w:rsidR="006F4147" w:rsidRPr="00656A97">
        <w:rPr>
          <w:b/>
          <w:sz w:val="24"/>
          <w:szCs w:val="24"/>
          <w:lang w:val="uk-UA"/>
        </w:rPr>
        <w:t>___ грн</w:t>
      </w:r>
      <w:r w:rsidRPr="00656A97">
        <w:rPr>
          <w:b/>
          <w:sz w:val="24"/>
          <w:szCs w:val="24"/>
          <w:lang w:val="uk-UA"/>
        </w:rPr>
        <w:t xml:space="preserve"> без ПДВ</w:t>
      </w:r>
      <w:r w:rsidR="00B92C00" w:rsidRPr="00656A97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lastRenderedPageBreak/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B077FD">
        <w:rPr>
          <w:b/>
          <w:sz w:val="24"/>
          <w:szCs w:val="24"/>
          <w:lang w:val="uk-UA"/>
        </w:rPr>
        <w:t>3</w:t>
      </w:r>
      <w:r w:rsidR="00F117D4">
        <w:rPr>
          <w:b/>
          <w:sz w:val="24"/>
          <w:szCs w:val="24"/>
          <w:lang w:val="uk-UA"/>
        </w:rPr>
        <w:t>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246C99" w:rsidRDefault="00DE476B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246C99" w:rsidRPr="00246C99">
        <w:rPr>
          <w:b/>
          <w:sz w:val="24"/>
          <w:szCs w:val="24"/>
          <w:lang w:val="uk-UA"/>
        </w:rPr>
        <w:t>20.12.2023</w:t>
      </w:r>
      <w:r w:rsidR="00CD657E">
        <w:rPr>
          <w:b/>
          <w:sz w:val="28"/>
          <w:szCs w:val="28"/>
          <w:lang w:val="uk-UA"/>
        </w:rPr>
        <w:t xml:space="preserve">, </w:t>
      </w:r>
      <w:r w:rsidR="00246C99" w:rsidRPr="005B7B83">
        <w:rPr>
          <w:sz w:val="24"/>
          <w:szCs w:val="24"/>
          <w:lang w:val="uk-UA"/>
        </w:rPr>
        <w:t xml:space="preserve">на умовах </w:t>
      </w:r>
      <w:r w:rsidR="00246C99">
        <w:rPr>
          <w:sz w:val="24"/>
          <w:szCs w:val="24"/>
          <w:lang w:val="uk-UA"/>
        </w:rPr>
        <w:t>–</w:t>
      </w:r>
      <w:r w:rsidR="00246C99" w:rsidRPr="005B7B83">
        <w:rPr>
          <w:sz w:val="24"/>
          <w:szCs w:val="24"/>
          <w:lang w:val="uk-UA"/>
        </w:rPr>
        <w:t xml:space="preserve"> D</w:t>
      </w:r>
      <w:r w:rsidR="009B009B">
        <w:rPr>
          <w:sz w:val="24"/>
          <w:szCs w:val="24"/>
          <w:lang w:val="en-US"/>
        </w:rPr>
        <w:t>D</w:t>
      </w:r>
      <w:r w:rsidR="00246C99" w:rsidRPr="005B7B83">
        <w:rPr>
          <w:sz w:val="24"/>
          <w:szCs w:val="24"/>
          <w:lang w:val="en-US"/>
        </w:rPr>
        <w:t>P</w:t>
      </w:r>
      <w:r w:rsidR="00246C99">
        <w:rPr>
          <w:sz w:val="24"/>
          <w:szCs w:val="24"/>
          <w:lang w:val="uk-UA"/>
        </w:rPr>
        <w:t xml:space="preserve"> </w:t>
      </w:r>
      <w:r w:rsidR="00246C99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246C99">
        <w:rPr>
          <w:sz w:val="24"/>
          <w:szCs w:val="24"/>
          <w:lang w:val="uk-UA"/>
        </w:rPr>
        <w:t>ОРК «Іскра» відп</w:t>
      </w:r>
      <w:r w:rsidR="00586752">
        <w:rPr>
          <w:sz w:val="24"/>
          <w:szCs w:val="24"/>
          <w:lang w:val="uk-UA"/>
        </w:rPr>
        <w:t>овідно до правил Інкотермс-2010, з обов’язковою присутністю представника Постачальника.</w:t>
      </w:r>
    </w:p>
    <w:p w:rsidR="00246C99" w:rsidRPr="005B7B83" w:rsidRDefault="00246C99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Поставка товару здійснюється протягом 5-ти робочих днів з дати отримання Постачальником заявки Покупця на поставку партії Товару на електронну пошту Постачальника </w:t>
      </w:r>
      <w:r w:rsidRPr="002471A2">
        <w:rPr>
          <w:b/>
          <w:sz w:val="24"/>
          <w:szCs w:val="24"/>
          <w:lang w:val="uk-UA"/>
        </w:rPr>
        <w:t>(вказати електронну пошту).</w:t>
      </w:r>
    </w:p>
    <w:p w:rsidR="00134BF8" w:rsidRPr="00820355" w:rsidRDefault="00134BF8" w:rsidP="00246C99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775ECC" w:rsidRDefault="00294D47" w:rsidP="00827DFC">
      <w:pPr>
        <w:spacing w:before="30" w:after="30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361FE1">
        <w:rPr>
          <w:sz w:val="24"/>
          <w:szCs w:val="24"/>
          <w:lang w:val="uk-UA" w:eastAsia="uk-UA"/>
        </w:rPr>
        <w:t xml:space="preserve"> </w:t>
      </w:r>
      <w:r w:rsidR="00406B14" w:rsidRPr="00361FE1">
        <w:rPr>
          <w:sz w:val="24"/>
          <w:szCs w:val="24"/>
          <w:lang w:val="uk-UA" w:eastAsia="uk-UA"/>
        </w:rPr>
        <w:t xml:space="preserve"> </w:t>
      </w:r>
      <w:r w:rsidR="006F701D" w:rsidRPr="00361FE1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361FE1">
        <w:rPr>
          <w:sz w:val="24"/>
          <w:szCs w:val="24"/>
          <w:lang w:val="uk-UA"/>
        </w:rPr>
        <w:t>товару</w:t>
      </w:r>
      <w:r w:rsidR="00975C76" w:rsidRPr="00820355">
        <w:rPr>
          <w:sz w:val="24"/>
          <w:szCs w:val="24"/>
          <w:lang w:val="uk-UA"/>
        </w:rPr>
        <w:t xml:space="preserve"> </w:t>
      </w:r>
      <w:r w:rsidR="00CD657E" w:rsidRPr="00361FE1">
        <w:rPr>
          <w:sz w:val="24"/>
          <w:szCs w:val="24"/>
          <w:lang w:val="uk-UA"/>
        </w:rPr>
        <w:t xml:space="preserve">(згідно </w:t>
      </w:r>
      <w:proofErr w:type="spellStart"/>
      <w:r w:rsidR="00786B49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786B49">
        <w:rPr>
          <w:rFonts w:eastAsia="Calibri"/>
          <w:sz w:val="24"/>
          <w:szCs w:val="24"/>
          <w:lang w:val="uk-UA" w:eastAsia="en-US"/>
        </w:rPr>
        <w:t>(т).23.2400.10.0030</w:t>
      </w:r>
      <w:r w:rsidR="00246C99">
        <w:rPr>
          <w:rFonts w:eastAsia="Calibri"/>
          <w:sz w:val="24"/>
          <w:szCs w:val="24"/>
          <w:lang w:val="uk-UA" w:eastAsia="en-US"/>
        </w:rPr>
        <w:t>-2021</w:t>
      </w:r>
      <w:r w:rsidR="00786B49">
        <w:rPr>
          <w:rFonts w:eastAsia="Calibri"/>
          <w:sz w:val="24"/>
          <w:szCs w:val="24"/>
          <w:lang w:val="uk-UA" w:eastAsia="en-US"/>
        </w:rPr>
        <w:t>;</w:t>
      </w:r>
      <w:r w:rsidR="00786B49" w:rsidRPr="00786B49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="00786B49">
        <w:rPr>
          <w:rFonts w:eastAsia="Calibri"/>
          <w:sz w:val="24"/>
          <w:szCs w:val="24"/>
          <w:lang w:val="uk-UA" w:eastAsia="en-US"/>
        </w:rPr>
        <w:t>ТСдоПЗ</w:t>
      </w:r>
      <w:proofErr w:type="spellEnd"/>
      <w:r w:rsidR="00786B49">
        <w:rPr>
          <w:rFonts w:eastAsia="Calibri"/>
          <w:sz w:val="24"/>
          <w:szCs w:val="24"/>
          <w:lang w:val="uk-UA" w:eastAsia="en-US"/>
        </w:rPr>
        <w:t>(т).23.2400.10.0028</w:t>
      </w:r>
      <w:r w:rsidR="00786B49">
        <w:rPr>
          <w:rFonts w:eastAsia="Calibri"/>
          <w:sz w:val="24"/>
          <w:szCs w:val="24"/>
          <w:lang w:val="uk-UA" w:eastAsia="en-US"/>
        </w:rPr>
        <w:t>-2022</w:t>
      </w:r>
      <w:r w:rsidR="00786B49">
        <w:rPr>
          <w:rFonts w:eastAsia="Calibri"/>
          <w:sz w:val="24"/>
          <w:szCs w:val="24"/>
          <w:lang w:val="uk-UA" w:eastAsia="en-US"/>
        </w:rPr>
        <w:t xml:space="preserve"> </w:t>
      </w:r>
      <w:r w:rsidR="00CD657E">
        <w:rPr>
          <w:sz w:val="24"/>
          <w:szCs w:val="24"/>
          <w:lang w:val="uk-UA"/>
        </w:rPr>
        <w:t>).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CD657E">
        <w:rPr>
          <w:sz w:val="24"/>
          <w:szCs w:val="24"/>
          <w:lang w:val="uk-UA"/>
        </w:rPr>
        <w:t xml:space="preserve">в строк 20 </w:t>
      </w:r>
      <w:r w:rsidR="00792E33">
        <w:rPr>
          <w:sz w:val="24"/>
          <w:szCs w:val="24"/>
          <w:lang w:val="uk-UA"/>
        </w:rPr>
        <w:t>днів</w:t>
      </w:r>
      <w:r w:rsidR="00CD657E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E824E4" w:rsidRPr="00704387" w:rsidRDefault="00E824E4" w:rsidP="00E824E4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Pr="00820355">
        <w:rPr>
          <w:sz w:val="24"/>
          <w:szCs w:val="24"/>
          <w:lang w:val="uk-UA"/>
        </w:rPr>
        <w:t xml:space="preserve">3.9 </w:t>
      </w:r>
      <w:r w:rsidRPr="00E558EA">
        <w:rPr>
          <w:sz w:val="24"/>
          <w:szCs w:val="24"/>
          <w:lang w:val="uk-UA"/>
        </w:rPr>
        <w:t>При поставці продукції (якщо товар обчислюється в одиницях довжини, площі, об’єму та маси)</w:t>
      </w:r>
      <w:r w:rsidRPr="005B7B83">
        <w:rPr>
          <w:sz w:val="24"/>
          <w:szCs w:val="24"/>
          <w:lang w:val="uk-UA"/>
        </w:rPr>
        <w:t xml:space="preserve"> допускається відхилення фактичних показників загальної кількості від зазначеної в специфікації в меншу сторону, пов’язане з особливостями фасування або пакування такої продукції безпосередньо Виробником, а також особливостями її транспортування. </w:t>
      </w:r>
      <w:r w:rsidRPr="005B7B83">
        <w:rPr>
          <w:sz w:val="24"/>
          <w:szCs w:val="24"/>
        </w:rPr>
        <w:t xml:space="preserve">При </w:t>
      </w:r>
      <w:r w:rsidRPr="005B7B83">
        <w:rPr>
          <w:sz w:val="24"/>
          <w:szCs w:val="24"/>
          <w:lang w:val="uk-UA"/>
        </w:rPr>
        <w:t>цьому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 xml:space="preserve">максимальний розмір </w:t>
      </w:r>
      <w:r w:rsidRPr="005B7B83">
        <w:rPr>
          <w:sz w:val="24"/>
          <w:szCs w:val="24"/>
        </w:rPr>
        <w:t xml:space="preserve">допустимого </w:t>
      </w:r>
      <w:r w:rsidRPr="005B7B83">
        <w:rPr>
          <w:sz w:val="24"/>
          <w:szCs w:val="24"/>
          <w:lang w:val="uk-UA"/>
        </w:rPr>
        <w:t>відхилення</w:t>
      </w:r>
      <w:r w:rsidRPr="005B7B83">
        <w:rPr>
          <w:sz w:val="24"/>
          <w:szCs w:val="24"/>
        </w:rPr>
        <w:t xml:space="preserve"> не </w:t>
      </w:r>
      <w:r w:rsidRPr="005B7B83">
        <w:rPr>
          <w:sz w:val="24"/>
          <w:szCs w:val="24"/>
          <w:lang w:val="uk-UA"/>
        </w:rPr>
        <w:t>може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перевищувати</w:t>
      </w:r>
      <w:r>
        <w:rPr>
          <w:sz w:val="24"/>
          <w:szCs w:val="24"/>
        </w:rPr>
        <w:t xml:space="preserve"> 5</w:t>
      </w:r>
      <w:r w:rsidRPr="005B7B83">
        <w:rPr>
          <w:sz w:val="24"/>
          <w:szCs w:val="24"/>
        </w:rPr>
        <w:t xml:space="preserve"> % </w:t>
      </w:r>
      <w:r w:rsidRPr="005B7B83">
        <w:rPr>
          <w:sz w:val="24"/>
          <w:szCs w:val="24"/>
          <w:lang w:val="uk-UA"/>
        </w:rPr>
        <w:t>від</w:t>
      </w:r>
      <w:r w:rsidRPr="005B7B83">
        <w:rPr>
          <w:sz w:val="24"/>
          <w:szCs w:val="24"/>
        </w:rPr>
        <w:t xml:space="preserve"> </w:t>
      </w:r>
      <w:r w:rsidRPr="005B7B83">
        <w:rPr>
          <w:sz w:val="24"/>
          <w:szCs w:val="24"/>
          <w:lang w:val="uk-UA"/>
        </w:rPr>
        <w:t>встановленого специфікацією показника</w:t>
      </w:r>
      <w:r w:rsidRPr="005B7B83">
        <w:rPr>
          <w:sz w:val="24"/>
          <w:szCs w:val="24"/>
        </w:rPr>
        <w:t xml:space="preserve">, за </w:t>
      </w:r>
      <w:r w:rsidRPr="005B7B83">
        <w:rPr>
          <w:sz w:val="24"/>
          <w:szCs w:val="24"/>
          <w:lang w:val="uk-UA"/>
        </w:rPr>
        <w:t>умови</w:t>
      </w:r>
      <w:r w:rsidRPr="005B7B83">
        <w:rPr>
          <w:sz w:val="24"/>
          <w:szCs w:val="24"/>
        </w:rPr>
        <w:t xml:space="preserve">, </w:t>
      </w:r>
      <w:r w:rsidRPr="005B7B83">
        <w:rPr>
          <w:sz w:val="24"/>
          <w:szCs w:val="24"/>
          <w:lang w:val="uk-UA"/>
        </w:rPr>
        <w:t>що</w:t>
      </w:r>
      <w:r w:rsidRPr="005B7B83">
        <w:rPr>
          <w:sz w:val="24"/>
          <w:szCs w:val="24"/>
        </w:rPr>
        <w:t xml:space="preserve"> суму </w:t>
      </w:r>
      <w:r w:rsidRPr="005B7B83">
        <w:rPr>
          <w:sz w:val="24"/>
          <w:szCs w:val="24"/>
          <w:lang w:val="uk-UA"/>
        </w:rPr>
        <w:t>Д</w:t>
      </w:r>
      <w:r w:rsidRPr="005B7B83">
        <w:rPr>
          <w:sz w:val="24"/>
          <w:szCs w:val="24"/>
        </w:rPr>
        <w:t xml:space="preserve">оговору не буде </w:t>
      </w:r>
      <w:r w:rsidRPr="005B7B83">
        <w:rPr>
          <w:sz w:val="24"/>
          <w:szCs w:val="24"/>
          <w:lang w:val="uk-UA"/>
        </w:rPr>
        <w:t>перевищено та буде забезпечено постачання всієї номенклатури позицій специфікації. Відхилення</w:t>
      </w:r>
      <w:r w:rsidRPr="00704387">
        <w:rPr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>обов’язково має</w:t>
      </w:r>
      <w:r w:rsidRPr="00704387">
        <w:rPr>
          <w:sz w:val="24"/>
          <w:szCs w:val="24"/>
          <w:lang w:val="uk-UA"/>
        </w:rPr>
        <w:t xml:space="preserve"> бути </w:t>
      </w:r>
      <w:r w:rsidRPr="005B7B83">
        <w:rPr>
          <w:sz w:val="24"/>
          <w:szCs w:val="24"/>
          <w:lang w:val="uk-UA"/>
        </w:rPr>
        <w:t xml:space="preserve">узгоджений безпосередньо </w:t>
      </w:r>
      <w:r w:rsidRPr="00704387">
        <w:rPr>
          <w:sz w:val="24"/>
          <w:szCs w:val="24"/>
          <w:lang w:val="uk-UA"/>
        </w:rPr>
        <w:t xml:space="preserve">з </w:t>
      </w:r>
      <w:r w:rsidRPr="005B7B83">
        <w:rPr>
          <w:sz w:val="24"/>
          <w:szCs w:val="24"/>
          <w:lang w:val="uk-UA"/>
        </w:rPr>
        <w:t>Покупцем</w:t>
      </w:r>
      <w:r w:rsidRPr="00704387">
        <w:rPr>
          <w:sz w:val="24"/>
          <w:szCs w:val="24"/>
          <w:lang w:val="uk-UA"/>
        </w:rPr>
        <w:t>.</w:t>
      </w:r>
    </w:p>
    <w:p w:rsidR="00272444" w:rsidRPr="009B009B" w:rsidRDefault="00272444" w:rsidP="009B009B">
      <w:pPr>
        <w:widowControl/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</w:t>
      </w:r>
      <w:r w:rsidRPr="00820355">
        <w:rPr>
          <w:sz w:val="24"/>
          <w:szCs w:val="24"/>
          <w:lang w:val="uk-UA"/>
        </w:rPr>
        <w:lastRenderedPageBreak/>
        <w:t>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>
        <w:rPr>
          <w:sz w:val="24"/>
          <w:szCs w:val="24"/>
          <w:lang w:val="uk-UA"/>
        </w:rPr>
        <w:t>Комплаєнс</w:t>
      </w:r>
      <w:proofErr w:type="spellEnd"/>
      <w:r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246C99" w:rsidRDefault="00246C99" w:rsidP="00246C99">
      <w:pPr>
        <w:ind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1A5A18" w:rsidRPr="00820355" w:rsidRDefault="001A5A18" w:rsidP="00F10446">
      <w:pPr>
        <w:ind w:firstLine="426"/>
        <w:jc w:val="both"/>
        <w:rPr>
          <w:sz w:val="16"/>
          <w:szCs w:val="16"/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</w:t>
      </w:r>
      <w:r w:rsidR="00A775AB" w:rsidRPr="00820355">
        <w:rPr>
          <w:sz w:val="24"/>
          <w:szCs w:val="24"/>
          <w:lang w:val="uk-UA"/>
        </w:rPr>
        <w:lastRenderedPageBreak/>
        <w:t xml:space="preserve">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CD657E" w:rsidRDefault="001956D6" w:rsidP="00C40AEF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погодження зміни ціни за одиницю товару в Договорі у разі коливання ціни такого товару на ринку, що відбулося з моменту укладення Договору або останнього внесення змін до Договору в частині зміни ціни за одиницю товару. Зміна ціни за одиницю товару здійснюється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коливанню ціни такого товару на ринку (відсоток збільшення ціни за одиницю товару не може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lastRenderedPageBreak/>
        <w:t>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на момент його укладення;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товару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Покупця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Договорі;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ціни в Договорі у зв'язку із зміною ставок податків і зборів та/або зміною умов щодо надання пільг з оподаткування - 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 таких ставок, та/або пільг з оподаткування а також у зв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’язку з зміною системи оподаткування </w:t>
      </w:r>
      <w:proofErr w:type="spellStart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пропорційно</w:t>
      </w:r>
      <w:proofErr w:type="spellEnd"/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до зміни податкового навантаження внаслідок зміни системи оподаткування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;</w:t>
      </w:r>
    </w:p>
    <w:p w:rsidR="00C016AD" w:rsidRPr="00CD657E" w:rsidRDefault="00C016AD" w:rsidP="00C016AD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Platts</w:t>
      </w:r>
      <w:proofErr w:type="spellEnd"/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ARGUS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65040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регульованих цін (тарифів),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нормативів, 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середньозважених цін на електроенергію на ринку «на добу наперед» </w:t>
      </w: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що застосовуються в Договорі про закупівлю, у разі встановлення в Договорі про закупівлю порядку зміни ціни.</w:t>
      </w:r>
    </w:p>
    <w:p w:rsidR="00C016AD" w:rsidRPr="00CD657E" w:rsidRDefault="00C016AD" w:rsidP="00CD657E">
      <w:pPr>
        <w:pStyle w:val="af1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</w:pPr>
      <w:r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-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зміни умов у зв</w:t>
      </w:r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>язку</w:t>
      </w:r>
      <w:proofErr w:type="spellEnd"/>
      <w:r w:rsidR="004357A6" w:rsidRPr="00CD657E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 із застосуванням положень частини шостої статті 41 Закону України «Про публічні закупівлі». 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/>
        </w:rPr>
        <w:lastRenderedPageBreak/>
        <w:t xml:space="preserve">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7F6734">
        <w:rPr>
          <w:sz w:val="24"/>
          <w:szCs w:val="24"/>
          <w:lang w:val="uk-UA" w:eastAsia="uk-UA"/>
        </w:rPr>
        <w:t>4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F2CA6" w:rsidRDefault="000F2CA6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246C99" w:rsidRDefault="00246C99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Default="00123CA7" w:rsidP="00E824E4">
      <w:pPr>
        <w:jc w:val="both"/>
        <w:rPr>
          <w:sz w:val="24"/>
          <w:szCs w:val="24"/>
          <w:lang w:val="uk-UA" w:eastAsia="uk-UA"/>
        </w:rPr>
      </w:pPr>
    </w:p>
    <w:p w:rsidR="00123CA7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123CA7" w:rsidRPr="00820355" w:rsidRDefault="00123CA7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246C99" w:rsidP="00F02E2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E824E4" w:rsidRDefault="009B009B" w:rsidP="00E824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ОРК «Іскра»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123CA7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123CA7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123CA7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123CA7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123CA7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330B4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="00330B41">
              <w:rPr>
                <w:sz w:val="24"/>
                <w:szCs w:val="24"/>
                <w:lang w:val="uk-UA"/>
              </w:rPr>
              <w:t xml:space="preserve"> товару</w:t>
            </w:r>
            <w:r w:rsidR="00C016AD">
              <w:rPr>
                <w:sz w:val="24"/>
                <w:szCs w:val="24"/>
                <w:lang w:val="uk-UA"/>
              </w:rPr>
              <w:t>, 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49" w:rsidRDefault="00001349">
      <w:r>
        <w:separator/>
      </w:r>
    </w:p>
  </w:endnote>
  <w:endnote w:type="continuationSeparator" w:id="0">
    <w:p w:rsidR="00001349" w:rsidRDefault="0000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B49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49" w:rsidRDefault="00001349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001349" w:rsidRDefault="0000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1349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2CA6"/>
    <w:rsid w:val="000F32E8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3CA7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4E5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07B4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46C99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43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B41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1FE1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7A6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478F2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752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A97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B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3D55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7F6734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0182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56F"/>
    <w:rsid w:val="009A4B70"/>
    <w:rsid w:val="009A4E4B"/>
    <w:rsid w:val="009A79F0"/>
    <w:rsid w:val="009B009B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5B31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7FD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954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16AD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06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5040"/>
    <w:rsid w:val="00C65D90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57E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9D3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37A4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18D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4E4"/>
    <w:rsid w:val="00E829C3"/>
    <w:rsid w:val="00E8553C"/>
    <w:rsid w:val="00E87D38"/>
    <w:rsid w:val="00E9011A"/>
    <w:rsid w:val="00E924EF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77260-8C48-4AE2-A330-C3A94FC3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26BC-AD80-49ED-B916-FC4104E4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21424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19</cp:revision>
  <cp:lastPrinted>2021-09-17T11:34:00Z</cp:lastPrinted>
  <dcterms:created xsi:type="dcterms:W3CDTF">2022-10-26T07:13:00Z</dcterms:created>
  <dcterms:modified xsi:type="dcterms:W3CDTF">2022-11-08T08:12:00Z</dcterms:modified>
</cp:coreProperties>
</file>