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5C4DCCC0" w:rsidR="003906DE" w:rsidRPr="00DD5CDE" w:rsidRDefault="00D10976" w:rsidP="00BC285F">
      <w:pPr>
        <w:jc w:val="center"/>
        <w:rPr>
          <w:lang w:val="uk-UA"/>
        </w:rPr>
      </w:pPr>
      <w:r>
        <w:rPr>
          <w:lang w:val="uk-UA"/>
        </w:rPr>
        <w:t>с</w:t>
      </w:r>
      <w:r w:rsidR="003906DE" w:rsidRPr="00DD5CDE">
        <w:rPr>
          <w:lang w:val="uk-UA"/>
        </w:rPr>
        <w:t xml:space="preserve">. </w:t>
      </w:r>
      <w:r w:rsidR="008510D4">
        <w:rPr>
          <w:lang w:val="uk-UA"/>
        </w:rPr>
        <w:t>Сороки-Львівські</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5A2A2AB6" w:rsidR="003906DE" w:rsidRPr="00DD5CDE" w:rsidRDefault="008510D4" w:rsidP="00D10976">
      <w:pPr>
        <w:shd w:val="clear" w:color="auto" w:fill="FFFFFF"/>
        <w:ind w:firstLine="708"/>
        <w:jc w:val="both"/>
        <w:rPr>
          <w:b/>
          <w:lang w:val="uk-UA"/>
        </w:rPr>
      </w:pPr>
      <w:proofErr w:type="spellStart"/>
      <w:r w:rsidRPr="008510D4">
        <w:rPr>
          <w:b/>
          <w:lang w:val="uk-UA"/>
        </w:rPr>
        <w:t>Мурованська</w:t>
      </w:r>
      <w:proofErr w:type="spellEnd"/>
      <w:r w:rsidRPr="008510D4">
        <w:rPr>
          <w:b/>
          <w:lang w:val="uk-UA"/>
        </w:rPr>
        <w:t xml:space="preserve"> сільська рада територіальна громада Львівського району Львівської області</w:t>
      </w:r>
      <w:r w:rsidR="00CD6498">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55902096" w:rsidR="003906DE" w:rsidRPr="00DD5CDE" w:rsidRDefault="003906DE" w:rsidP="00D10976">
      <w:pPr>
        <w:keepLines/>
        <w:jc w:val="both"/>
        <w:rPr>
          <w:b/>
          <w:color w:val="000000"/>
          <w:lang w:val="uk-UA"/>
        </w:rPr>
      </w:pPr>
      <w:r w:rsidRPr="00DD5CDE">
        <w:rPr>
          <w:lang w:val="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DD5CDE">
        <w:rPr>
          <w:lang w:val="uk-UA"/>
        </w:rPr>
        <w:t>проєктно</w:t>
      </w:r>
      <w:proofErr w:type="spellEnd"/>
      <w:r w:rsidRPr="00DD5CDE">
        <w:rPr>
          <w:lang w:val="uk-UA"/>
        </w:rPr>
        <w:t>-кошторисної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8510D4" w:rsidRPr="008510D4">
        <w:rPr>
          <w:b/>
          <w:color w:val="000000"/>
          <w:lang w:val="uk-UA"/>
        </w:rPr>
        <w:t>«Реконструкція шатрового даху Ямпільського навчально-виховного комплексу «Загально-освітній навчальний заклад І-</w:t>
      </w:r>
      <w:proofErr w:type="spellStart"/>
      <w:r w:rsidR="008510D4" w:rsidRPr="008510D4">
        <w:rPr>
          <w:b/>
          <w:color w:val="000000"/>
          <w:lang w:val="uk-UA"/>
        </w:rPr>
        <w:t>ІІІст</w:t>
      </w:r>
      <w:proofErr w:type="spellEnd"/>
      <w:r w:rsidR="008510D4" w:rsidRPr="008510D4">
        <w:rPr>
          <w:b/>
          <w:color w:val="000000"/>
          <w:lang w:val="uk-UA"/>
        </w:rPr>
        <w:t xml:space="preserve">. – дошкільний навчальний заклад» </w:t>
      </w:r>
      <w:proofErr w:type="spellStart"/>
      <w:r w:rsidR="008510D4" w:rsidRPr="008510D4">
        <w:rPr>
          <w:b/>
          <w:color w:val="000000"/>
          <w:lang w:val="uk-UA"/>
        </w:rPr>
        <w:t>Мурованської</w:t>
      </w:r>
      <w:proofErr w:type="spellEnd"/>
      <w:r w:rsidR="008510D4" w:rsidRPr="008510D4">
        <w:rPr>
          <w:b/>
          <w:color w:val="000000"/>
          <w:lang w:val="uk-UA"/>
        </w:rPr>
        <w:t xml:space="preserve"> сільської ради об’єднаної територіальної громади </w:t>
      </w:r>
      <w:proofErr w:type="spellStart"/>
      <w:r w:rsidR="008510D4" w:rsidRPr="008510D4">
        <w:rPr>
          <w:b/>
          <w:color w:val="000000"/>
          <w:lang w:val="uk-UA"/>
        </w:rPr>
        <w:t>Пустомитівського</w:t>
      </w:r>
      <w:proofErr w:type="spellEnd"/>
      <w:r w:rsidR="008510D4" w:rsidRPr="008510D4">
        <w:rPr>
          <w:b/>
          <w:color w:val="000000"/>
          <w:lang w:val="uk-UA"/>
        </w:rPr>
        <w:t xml:space="preserve"> району Львівської області. Корегування. (ДК 021:2015: 45454000-4 — Реконструкція)</w:t>
      </w:r>
      <w:r w:rsidR="00BD1C6B">
        <w:rPr>
          <w:b/>
          <w:color w:val="000000"/>
          <w:lang w:val="uk-UA"/>
        </w:rPr>
        <w:t>,</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4A5B9DFF" w14:textId="77777777" w:rsidR="00D10976" w:rsidRPr="00DD5CDE" w:rsidRDefault="00D10976" w:rsidP="00D10976">
      <w:pPr>
        <w:shd w:val="clear" w:color="auto" w:fill="FFFFFF"/>
        <w:tabs>
          <w:tab w:val="left" w:pos="1219"/>
        </w:tabs>
        <w:jc w:val="both"/>
        <w:rPr>
          <w:lang w:val="uk-UA"/>
        </w:rPr>
      </w:pPr>
      <w:r w:rsidRPr="00DD5CDE">
        <w:rPr>
          <w:lang w:val="uk-UA"/>
        </w:rPr>
        <w:t xml:space="preserve">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37C90FD0" w14:textId="77777777" w:rsidR="00D10976" w:rsidRPr="00DD5CDE" w:rsidRDefault="00D10976" w:rsidP="00D10976">
      <w:pPr>
        <w:jc w:val="both"/>
        <w:rPr>
          <w:lang w:val="uk-UA"/>
        </w:rPr>
      </w:pPr>
      <w:r w:rsidRPr="00DD5CDE">
        <w:rPr>
          <w:lang w:val="uk-UA"/>
        </w:rPr>
        <w:t>3.2. Ціна цього Договору може бути зменшена за взаємною згодою Сторін.</w:t>
      </w:r>
    </w:p>
    <w:p w14:paraId="37705FAD" w14:textId="77777777" w:rsidR="00D10976" w:rsidRPr="00DD5CDE" w:rsidRDefault="00D10976" w:rsidP="00D10976">
      <w:pPr>
        <w:jc w:val="both"/>
        <w:rPr>
          <w:lang w:val="uk-UA"/>
        </w:rPr>
      </w:pPr>
      <w:r w:rsidRPr="00DD5CDE">
        <w:rPr>
          <w:lang w:val="uk-UA"/>
        </w:rPr>
        <w:t xml:space="preserve">3.3. Вартість робіт по цьому Договору в межах бюджетного фінансування на </w:t>
      </w:r>
      <w:r>
        <w:rPr>
          <w:lang w:val="uk-UA"/>
        </w:rPr>
        <w:t>2023</w:t>
      </w:r>
      <w:r w:rsidRPr="00DD5CDE">
        <w:rPr>
          <w:lang w:val="uk-UA"/>
        </w:rPr>
        <w:t xml:space="preserve"> рік становить ____________ (</w:t>
      </w:r>
      <w:r w:rsidRPr="00DD5CDE">
        <w:rPr>
          <w:i/>
          <w:iCs/>
          <w:lang w:val="uk-UA"/>
        </w:rPr>
        <w:t>визначається замовником</w:t>
      </w:r>
      <w:r w:rsidRPr="00DD5CDE">
        <w:rPr>
          <w:lang w:val="uk-UA"/>
        </w:rPr>
        <w:t xml:space="preserve">) грн. (________________________),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_____________________________________________</w:t>
      </w:r>
      <w:r w:rsidRPr="00DD5CDE">
        <w:rPr>
          <w:lang w:val="uk-UA"/>
        </w:rPr>
        <w:t>).</w:t>
      </w:r>
    </w:p>
    <w:p w14:paraId="6D1343C4" w14:textId="77777777" w:rsidR="00D10976" w:rsidRPr="00DD5CDE" w:rsidRDefault="00D10976" w:rsidP="00D10976">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w:t>
      </w:r>
      <w:proofErr w:type="spellStart"/>
      <w:r w:rsidRPr="00DD5CDE">
        <w:rPr>
          <w:lang w:val="uk-UA"/>
        </w:rPr>
        <w:t>закупівель</w:t>
      </w:r>
      <w:proofErr w:type="spellEnd"/>
      <w:r w:rsidRPr="00DD5CDE">
        <w:rPr>
          <w:lang w:val="uk-UA"/>
        </w:rPr>
        <w:t xml:space="preserve">,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w:t>
      </w:r>
      <w:proofErr w:type="spellStart"/>
      <w:r w:rsidRPr="00DD5CDE">
        <w:rPr>
          <w:lang w:val="uk-UA"/>
        </w:rPr>
        <w:t>науковопроектних</w:t>
      </w:r>
      <w:proofErr w:type="spellEnd"/>
      <w:r w:rsidRPr="00DD5CDE">
        <w:rPr>
          <w:lang w:val="uk-UA"/>
        </w:rPr>
        <w:t xml:space="preserve">, вишукувальних робіт та експертизи проектної документації на будівництво» затверджені наказом </w:t>
      </w:r>
      <w:proofErr w:type="spellStart"/>
      <w:r w:rsidRPr="00DD5CDE">
        <w:rPr>
          <w:lang w:val="uk-UA"/>
        </w:rPr>
        <w:t>Мінрегіону</w:t>
      </w:r>
      <w:proofErr w:type="spellEnd"/>
      <w:r w:rsidRPr="00DD5CDE">
        <w:rPr>
          <w:lang w:val="uk-UA"/>
        </w:rPr>
        <w:t xml:space="preserve">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 xml:space="preserve">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w:t>
      </w:r>
      <w:r w:rsidRPr="00DD5CDE">
        <w:rPr>
          <w:lang w:val="uk-UA"/>
        </w:rPr>
        <w:lastRenderedPageBreak/>
        <w:t>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26609843" w:rsidR="003906DE" w:rsidRPr="00DD5CDE" w:rsidRDefault="003906DE" w:rsidP="00035145">
      <w:pPr>
        <w:shd w:val="clear" w:color="auto" w:fill="FFFFFF"/>
        <w:jc w:val="both"/>
        <w:rPr>
          <w:lang w:val="uk-UA" w:eastAsia="uk-UA"/>
        </w:rPr>
      </w:pPr>
      <w:r w:rsidRPr="00DD5CDE">
        <w:rPr>
          <w:lang w:val="uk-UA"/>
        </w:rPr>
        <w:t xml:space="preserve">5.1. </w:t>
      </w:r>
      <w:r w:rsidRPr="00DD5CDE">
        <w:rPr>
          <w:lang w:val="uk-UA" w:eastAsia="uk-UA"/>
        </w:rPr>
        <w:t>Строк (термін) виконання робіт</w:t>
      </w:r>
      <w:r w:rsidR="00F365A6">
        <w:rPr>
          <w:lang w:val="uk-UA" w:eastAsia="uk-UA"/>
        </w:rPr>
        <w:t>:</w:t>
      </w:r>
      <w:r w:rsidR="008510D4">
        <w:rPr>
          <w:lang w:val="uk-UA" w:eastAsia="uk-UA"/>
        </w:rPr>
        <w:t xml:space="preserve"> до 31.12.2024 р. </w:t>
      </w:r>
      <w:r w:rsidRPr="00DD5CDE">
        <w:rPr>
          <w:color w:val="121212"/>
          <w:lang w:val="uk-UA"/>
        </w:rPr>
        <w:t>згідно з графіком виконання робіт</w:t>
      </w:r>
      <w:r w:rsidRPr="00DD5CDE">
        <w:rPr>
          <w:color w:val="000000"/>
          <w:lang w:val="uk-UA"/>
        </w:rPr>
        <w:t>.</w:t>
      </w:r>
    </w:p>
    <w:p w14:paraId="3F8E88EB" w14:textId="119F9571"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8510D4" w:rsidRPr="008510D4">
        <w:rPr>
          <w:b/>
          <w:bCs/>
          <w:lang w:val="uk-UA"/>
        </w:rPr>
        <w:t>81122, Львівська обл., Львівський р-н, село Ямпіль, вулиця Франка І., будинок 71б</w:t>
      </w:r>
      <w:r w:rsidR="008510D4">
        <w:rPr>
          <w:b/>
          <w:bCs/>
          <w:lang w:val="uk-UA"/>
        </w:rPr>
        <w:t>.</w:t>
      </w:r>
      <w:bookmarkStart w:id="0" w:name="_GoBack"/>
      <w:bookmarkEnd w:id="0"/>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w:t>
      </w:r>
      <w:proofErr w:type="spellStart"/>
      <w:r w:rsidRPr="00DD5CDE">
        <w:rPr>
          <w:iCs/>
          <w:lang w:val="uk-UA"/>
        </w:rPr>
        <w:t>проєктно</w:t>
      </w:r>
      <w:proofErr w:type="spellEnd"/>
      <w:r w:rsidRPr="00DD5CDE">
        <w:rPr>
          <w:iCs/>
          <w:lang w:val="uk-UA"/>
        </w:rPr>
        <w:t xml:space="preserve">-кошторисною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 xml:space="preserve">6.1.4. Авторський нагляд за дотриманням вимог </w:t>
      </w:r>
      <w:proofErr w:type="spellStart"/>
      <w:r w:rsidRPr="00DD5CDE">
        <w:rPr>
          <w:iCs/>
          <w:lang w:val="uk-UA"/>
        </w:rPr>
        <w:t>проєктно</w:t>
      </w:r>
      <w:proofErr w:type="spellEnd"/>
      <w:r w:rsidRPr="00DD5CDE">
        <w:rPr>
          <w:iCs/>
          <w:lang w:val="uk-UA"/>
        </w:rPr>
        <w:t>-кошторисної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DD5CDE">
        <w:rPr>
          <w:lang w:val="uk-UA"/>
        </w:rPr>
        <w:t>пpоєктнiй</w:t>
      </w:r>
      <w:proofErr w:type="spellEnd"/>
      <w:r w:rsidRPr="00DD5CDE">
        <w:rPr>
          <w:lang w:val="uk-UA"/>
        </w:rPr>
        <w:t xml:space="preserve">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 xml:space="preserve">6.3.2. Забезпечити виконання робіт у відповідності до вимог </w:t>
      </w:r>
      <w:proofErr w:type="spellStart"/>
      <w:r w:rsidRPr="00DD5CDE">
        <w:rPr>
          <w:lang w:val="uk-UA"/>
        </w:rPr>
        <w:t>проєктно</w:t>
      </w:r>
      <w:proofErr w:type="spellEnd"/>
      <w:r w:rsidRPr="00DD5CDE">
        <w:rPr>
          <w:lang w:val="uk-UA"/>
        </w:rPr>
        <w:t>-кошторисної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 xml:space="preserve">6.3.4. Протягом 10-ти днів розглянути </w:t>
      </w:r>
      <w:proofErr w:type="spellStart"/>
      <w:r w:rsidRPr="00DD5CDE">
        <w:rPr>
          <w:lang w:val="uk-UA"/>
        </w:rPr>
        <w:t>проєктно</w:t>
      </w:r>
      <w:proofErr w:type="spellEnd"/>
      <w:r w:rsidRPr="00DD5CDE">
        <w:rPr>
          <w:lang w:val="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DD5CDE">
        <w:rPr>
          <w:lang w:val="uk-UA"/>
        </w:rPr>
        <w:t>проєктних</w:t>
      </w:r>
      <w:proofErr w:type="spellEnd"/>
      <w:r w:rsidRPr="00DD5CDE">
        <w:rPr>
          <w:lang w:val="uk-UA"/>
        </w:rPr>
        <w:t xml:space="preserve">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 xml:space="preserve">6.3.9. Комплект </w:t>
      </w:r>
      <w:proofErr w:type="spellStart"/>
      <w:r w:rsidRPr="00DD5CDE">
        <w:rPr>
          <w:lang w:val="uk-UA"/>
        </w:rPr>
        <w:t>проєктно</w:t>
      </w:r>
      <w:proofErr w:type="spellEnd"/>
      <w:r w:rsidRPr="00DD5CDE">
        <w:rPr>
          <w:lang w:val="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DD5CDE">
        <w:rPr>
          <w:lang w:val="uk-UA"/>
        </w:rPr>
        <w:t>проєктно</w:t>
      </w:r>
      <w:proofErr w:type="spellEnd"/>
      <w:r w:rsidRPr="00DD5CDE">
        <w:rPr>
          <w:lang w:val="uk-UA"/>
        </w:rPr>
        <w:t>-кошторисною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0764CF2F"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xml:space="preserve">. Після закінчення всіх передбачених </w:t>
      </w:r>
      <w:proofErr w:type="spellStart"/>
      <w:r w:rsidRPr="00DD5CDE">
        <w:rPr>
          <w:lang w:val="uk-UA"/>
        </w:rPr>
        <w:t>проєктно</w:t>
      </w:r>
      <w:proofErr w:type="spellEnd"/>
      <w:r w:rsidRPr="00DD5CDE">
        <w:rPr>
          <w:lang w:val="uk-UA"/>
        </w:rPr>
        <w:t>-кошторисною</w:t>
      </w:r>
      <w:r w:rsidRPr="00DD5CDE">
        <w:rPr>
          <w:lang w:val="uk-UA"/>
        </w:rPr>
        <w:br/>
        <w:t xml:space="preserve">документацією робіт впродовж 10-и календарних днів письмово </w:t>
      </w:r>
      <w:r w:rsidR="00424B72" w:rsidRPr="00424B72">
        <w:rPr>
          <w:lang w:val="uk-UA"/>
        </w:rPr>
        <w:t>повідомити та передати Замовнику для здачі об‘єкта в експлуатацію</w:t>
      </w:r>
      <w:r w:rsidRPr="00DD5CDE">
        <w:rPr>
          <w:lang w:val="uk-UA"/>
        </w:rPr>
        <w:t xml:space="preserve">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xml:space="preserve">. Підрядник гарантує якість закінчення робіт і змонтованих конструкцій, досягнення показників робіт, визначених у </w:t>
      </w:r>
      <w:proofErr w:type="spellStart"/>
      <w:r w:rsidRPr="00DD5CDE">
        <w:rPr>
          <w:lang w:val="uk-UA"/>
        </w:rPr>
        <w:t>пpоєктнiй</w:t>
      </w:r>
      <w:proofErr w:type="spellEnd"/>
      <w:r w:rsidRPr="00DD5CDE">
        <w:rPr>
          <w:lang w:val="uk-UA"/>
        </w:rPr>
        <w:t xml:space="preserve">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 xml:space="preserve">За порушення строків усунення дефектів або відхилень від </w:t>
      </w:r>
      <w:proofErr w:type="spellStart"/>
      <w:r w:rsidRPr="00DD5CDE">
        <w:rPr>
          <w:lang w:val="uk-UA"/>
        </w:rPr>
        <w:t>проєктно</w:t>
      </w:r>
      <w:proofErr w:type="spellEnd"/>
      <w:r w:rsidRPr="00DD5CDE">
        <w:rPr>
          <w:lang w:val="uk-UA"/>
        </w:rPr>
        <w:t xml:space="preserve">-кошторисної документації згідно із зауваженнями і приписами Замовника і </w:t>
      </w:r>
      <w:proofErr w:type="spellStart"/>
      <w:r w:rsidRPr="00DD5CDE">
        <w:rPr>
          <w:lang w:val="uk-UA"/>
        </w:rPr>
        <w:t>проєктної</w:t>
      </w:r>
      <w:proofErr w:type="spellEnd"/>
      <w:r w:rsidRPr="00DD5CDE">
        <w:rPr>
          <w:lang w:val="uk-UA"/>
        </w:rPr>
        <w:t xml:space="preserve"> організації, Підрядник сплачує Замовнику за кожен день </w:t>
      </w:r>
      <w:proofErr w:type="spellStart"/>
      <w:r w:rsidRPr="00DD5CDE">
        <w:rPr>
          <w:lang w:val="uk-UA"/>
        </w:rPr>
        <w:t>протермінування</w:t>
      </w:r>
      <w:proofErr w:type="spellEnd"/>
      <w:r w:rsidRPr="00DD5CDE">
        <w:rPr>
          <w:lang w:val="uk-UA"/>
        </w:rPr>
        <w:t xml:space="preserve">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 xml:space="preserve">Якщо в цей період облікова ставка НБУ змінювалася, розмір пені обчислюється </w:t>
      </w:r>
      <w:proofErr w:type="spellStart"/>
      <w:r w:rsidRPr="00DD5CDE">
        <w:rPr>
          <w:lang w:val="uk-UA"/>
        </w:rPr>
        <w:t>пропорційно</w:t>
      </w:r>
      <w:proofErr w:type="spellEnd"/>
      <w:r w:rsidRPr="00DD5CDE">
        <w:rPr>
          <w:lang w:val="uk-UA"/>
        </w:rPr>
        <w:t xml:space="preserve">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56448E3C"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w:t>
      </w:r>
      <w:proofErr w:type="spellStart"/>
      <w:r w:rsidRPr="00DD5CDE">
        <w:rPr>
          <w:lang w:val="uk-UA"/>
        </w:rPr>
        <w:t>проєктно</w:t>
      </w:r>
      <w:proofErr w:type="spellEnd"/>
      <w:r w:rsidRPr="00DD5CDE">
        <w:rPr>
          <w:lang w:val="uk-UA"/>
        </w:rPr>
        <w:t xml:space="preserve">-кошторисній документації та можливість безперервної і нормальної експлуатації об’єкта протягом – </w:t>
      </w:r>
      <w:r w:rsidR="00BD1C6B">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DD5CDE">
        <w:rPr>
          <w:lang w:val="uk-UA"/>
        </w:rPr>
        <w:t>проєктно</w:t>
      </w:r>
      <w:proofErr w:type="spellEnd"/>
      <w:r w:rsidRPr="00DD5CDE">
        <w:rPr>
          <w:lang w:val="uk-UA"/>
        </w:rPr>
        <w:t>-кошторисної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289F4004"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B1123D">
        <w:rPr>
          <w:b/>
          <w:color w:val="000000"/>
          <w:lang w:val="uk-UA"/>
        </w:rPr>
        <w:t>2024</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B5A2E">
        <w:rPr>
          <w:lang w:val="uk-UA"/>
        </w:rPr>
        <w:t>пропорційно</w:t>
      </w:r>
      <w:proofErr w:type="spellEnd"/>
      <w:r w:rsidRPr="006B5A2E">
        <w:rPr>
          <w:lang w:val="uk-UA"/>
        </w:rPr>
        <w:t xml:space="preserve"> до зміни таких ставок та/або пільг з оподаткування, а також у зв’язку з зміною системи оподаткування </w:t>
      </w:r>
      <w:proofErr w:type="spellStart"/>
      <w:r w:rsidRPr="006B5A2E">
        <w:rPr>
          <w:lang w:val="uk-UA"/>
        </w:rPr>
        <w:t>пропорційно</w:t>
      </w:r>
      <w:proofErr w:type="spellEnd"/>
      <w:r w:rsidRPr="006B5A2E">
        <w:rPr>
          <w:lang w:val="uk-UA"/>
        </w:rPr>
        <w:t xml:space="preserve">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lastRenderedPageBreak/>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94B5A" w14:textId="77777777" w:rsidR="002C7B8A" w:rsidRDefault="002C7B8A">
      <w:r>
        <w:separator/>
      </w:r>
    </w:p>
  </w:endnote>
  <w:endnote w:type="continuationSeparator" w:id="0">
    <w:p w14:paraId="5B92EF94" w14:textId="77777777" w:rsidR="002C7B8A" w:rsidRDefault="002C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711F" w14:textId="77777777" w:rsidR="002C7B8A" w:rsidRDefault="002C7B8A">
      <w:r>
        <w:separator/>
      </w:r>
    </w:p>
  </w:footnote>
  <w:footnote w:type="continuationSeparator" w:id="0">
    <w:p w14:paraId="335B910D" w14:textId="77777777" w:rsidR="002C7B8A" w:rsidRDefault="002C7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4B7D147F" w:rsidR="00107688" w:rsidRDefault="00656280">
    <w:pPr>
      <w:pStyle w:val="a4"/>
      <w:jc w:val="center"/>
    </w:pPr>
    <w:r>
      <w:fldChar w:fldCharType="begin"/>
    </w:r>
    <w:r>
      <w:instrText xml:space="preserve"> PAGE </w:instrText>
    </w:r>
    <w:r>
      <w:fldChar w:fldCharType="separate"/>
    </w:r>
    <w:r w:rsidR="008510D4">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2C7B8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C7B8A"/>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24B72"/>
    <w:rsid w:val="0043620D"/>
    <w:rsid w:val="004C7567"/>
    <w:rsid w:val="004F3DB5"/>
    <w:rsid w:val="004F536E"/>
    <w:rsid w:val="0051008F"/>
    <w:rsid w:val="00517BBF"/>
    <w:rsid w:val="005465F8"/>
    <w:rsid w:val="00547368"/>
    <w:rsid w:val="005A1F23"/>
    <w:rsid w:val="005A3189"/>
    <w:rsid w:val="005F1B3E"/>
    <w:rsid w:val="00656280"/>
    <w:rsid w:val="006A5ED6"/>
    <w:rsid w:val="006B5A2E"/>
    <w:rsid w:val="006D49F2"/>
    <w:rsid w:val="006E247D"/>
    <w:rsid w:val="006E3493"/>
    <w:rsid w:val="0070609D"/>
    <w:rsid w:val="0071240F"/>
    <w:rsid w:val="007173E9"/>
    <w:rsid w:val="0075621C"/>
    <w:rsid w:val="00776FD0"/>
    <w:rsid w:val="007A149D"/>
    <w:rsid w:val="007D5DBB"/>
    <w:rsid w:val="007E063F"/>
    <w:rsid w:val="00806182"/>
    <w:rsid w:val="008141A3"/>
    <w:rsid w:val="0082047F"/>
    <w:rsid w:val="00824409"/>
    <w:rsid w:val="008510D4"/>
    <w:rsid w:val="008972D5"/>
    <w:rsid w:val="008E0A00"/>
    <w:rsid w:val="008F0937"/>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123D"/>
    <w:rsid w:val="00B1424E"/>
    <w:rsid w:val="00B237F2"/>
    <w:rsid w:val="00B34590"/>
    <w:rsid w:val="00B43C0C"/>
    <w:rsid w:val="00B754B4"/>
    <w:rsid w:val="00B80156"/>
    <w:rsid w:val="00BC285F"/>
    <w:rsid w:val="00BC4494"/>
    <w:rsid w:val="00BC6191"/>
    <w:rsid w:val="00BD1C6B"/>
    <w:rsid w:val="00BD372A"/>
    <w:rsid w:val="00BE5117"/>
    <w:rsid w:val="00C01626"/>
    <w:rsid w:val="00C369F8"/>
    <w:rsid w:val="00C45A70"/>
    <w:rsid w:val="00C67D3E"/>
    <w:rsid w:val="00C77A38"/>
    <w:rsid w:val="00CC596D"/>
    <w:rsid w:val="00CD6498"/>
    <w:rsid w:val="00CD73D5"/>
    <w:rsid w:val="00D10976"/>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365A6"/>
    <w:rsid w:val="00F51922"/>
    <w:rsid w:val="00F669D5"/>
    <w:rsid w:val="00F6761D"/>
    <w:rsid w:val="00F73C92"/>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3781</Words>
  <Characters>21557</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2023-05-02T10:34:00Z</dcterms:modified>
</cp:coreProperties>
</file>