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853091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76F63">
        <w:rPr>
          <w:rFonts w:ascii="Times New Roman" w:eastAsia="Times New Roman" w:hAnsi="Times New Roman" w:cs="Times New Roman"/>
          <w:b/>
        </w:rPr>
        <w:t>Додаток 2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F63">
        <w:rPr>
          <w:rFonts w:ascii="Times New Roman" w:eastAsia="Times New Roman" w:hAnsi="Times New Roman" w:cs="Times New Roman"/>
          <w:b/>
        </w:rPr>
        <w:t>до Оголошення</w:t>
      </w:r>
    </w:p>
    <w:p w:rsidR="00630C3B" w:rsidRPr="00492ADC" w:rsidRDefault="00630C3B" w:rsidP="007D138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Pr="00492ADC">
        <w:rPr>
          <w:rFonts w:ascii="Times New Roman" w:hAnsi="Times New Roman"/>
          <w:b/>
          <w:color w:val="000000"/>
          <w:shd w:val="clear" w:color="auto" w:fill="FFFFFF"/>
        </w:rPr>
        <w:t>про проведення спрощеної закупівл</w:t>
      </w:r>
      <w:r w:rsidR="00263B6B">
        <w:rPr>
          <w:rFonts w:ascii="Times New Roman" w:hAnsi="Times New Roman"/>
          <w:b/>
          <w:color w:val="000000"/>
          <w:shd w:val="clear" w:color="auto" w:fill="FFFFFF"/>
        </w:rPr>
        <w:t>і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спрощеній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13D34" w:rsidRDefault="00B13D34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_________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13D3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val="ru-RU"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  <w:r w:rsidR="00B13D34" w:rsidRPr="00B13D34">
              <w:rPr>
                <w:rFonts w:ascii="Times New Roman" w:hAnsi="Times New Roman" w:cs="Times New Roman"/>
                <w:i/>
                <w:lang w:val="ru-RU" w:eastAsia="en-US"/>
              </w:rPr>
              <w:t xml:space="preserve"> (</w:t>
            </w:r>
            <w:proofErr w:type="spellStart"/>
            <w:r w:rsidR="00B13D34">
              <w:rPr>
                <w:rFonts w:ascii="Times New Roman" w:hAnsi="Times New Roman" w:cs="Times New Roman"/>
                <w:i/>
                <w:lang w:val="ru-RU" w:eastAsia="en-US"/>
              </w:rPr>
              <w:t>згідно</w:t>
            </w:r>
            <w:proofErr w:type="spellEnd"/>
            <w:r w:rsidR="00B13D3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proofErr w:type="spellStart"/>
            <w:r w:rsidR="00B13D34">
              <w:rPr>
                <w:rFonts w:ascii="Times New Roman" w:hAnsi="Times New Roman" w:cs="Times New Roman"/>
                <w:i/>
                <w:lang w:val="ru-RU" w:eastAsia="en-US"/>
              </w:rPr>
              <w:t>діючого</w:t>
            </w:r>
            <w:proofErr w:type="spellEnd"/>
            <w:r w:rsidR="00B13D34">
              <w:rPr>
                <w:rFonts w:ascii="Times New Roman" w:hAnsi="Times New Roman" w:cs="Times New Roman"/>
                <w:i/>
                <w:lang w:val="ru-RU" w:eastAsia="en-US"/>
              </w:rPr>
              <w:t xml:space="preserve"> тарифу)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DC02F7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lang w:bidi="ru-RU"/>
        </w:rPr>
        <w:t>спрощену закупівлю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4243D"/>
    <w:rsid w:val="000D6D69"/>
    <w:rsid w:val="00192034"/>
    <w:rsid w:val="001C453A"/>
    <w:rsid w:val="00263B6B"/>
    <w:rsid w:val="002A6FB6"/>
    <w:rsid w:val="002C541E"/>
    <w:rsid w:val="003301BD"/>
    <w:rsid w:val="00356E47"/>
    <w:rsid w:val="003F09EB"/>
    <w:rsid w:val="003F63B4"/>
    <w:rsid w:val="004A3D46"/>
    <w:rsid w:val="004A4A61"/>
    <w:rsid w:val="00576F63"/>
    <w:rsid w:val="00595AEB"/>
    <w:rsid w:val="00630C3B"/>
    <w:rsid w:val="0066025C"/>
    <w:rsid w:val="006B6D69"/>
    <w:rsid w:val="00757EF2"/>
    <w:rsid w:val="007D1381"/>
    <w:rsid w:val="007D2EA7"/>
    <w:rsid w:val="00853091"/>
    <w:rsid w:val="00915535"/>
    <w:rsid w:val="0092522F"/>
    <w:rsid w:val="00952069"/>
    <w:rsid w:val="00953552"/>
    <w:rsid w:val="009B651B"/>
    <w:rsid w:val="00A01750"/>
    <w:rsid w:val="00A255EF"/>
    <w:rsid w:val="00A5095D"/>
    <w:rsid w:val="00AF2D9F"/>
    <w:rsid w:val="00B13D34"/>
    <w:rsid w:val="00C33A83"/>
    <w:rsid w:val="00C6696E"/>
    <w:rsid w:val="00DC02F7"/>
    <w:rsid w:val="00E1267F"/>
    <w:rsid w:val="00E66DCF"/>
    <w:rsid w:val="00EB3E69"/>
    <w:rsid w:val="00F46B16"/>
    <w:rsid w:val="00F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12B2-22CB-420D-A0E8-72D947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Ханенко Наталія Григорївна</dc:creator>
  <cp:lastModifiedBy>Пользователь Windows</cp:lastModifiedBy>
  <cp:revision>2</cp:revision>
  <dcterms:created xsi:type="dcterms:W3CDTF">2022-08-01T07:21:00Z</dcterms:created>
  <dcterms:modified xsi:type="dcterms:W3CDTF">2022-08-01T07:21:00Z</dcterms:modified>
</cp:coreProperties>
</file>