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top"/>
        <w:rPr>
          <w:rFonts w:eastAsia="Times New Roman"/>
          <w:b/>
        </w:rPr>
      </w:pPr>
      <w:r>
        <w:rPr>
          <w:rFonts w:eastAsia="Times New Roman"/>
          <w:b/>
        </w:rPr>
        <w:t xml:space="preserve">Оголошення про проведення відкритих торгів* </w:t>
      </w:r>
    </w:p>
    <w:p>
      <w:pPr>
        <w:jc w:val="center"/>
        <w:textAlignment w:val="top"/>
        <w:rPr>
          <w:rFonts w:eastAsia="Times New Roman"/>
          <w:b/>
        </w:rPr>
      </w:pPr>
    </w:p>
    <w:tbl>
      <w:tblPr>
        <w:tblStyle w:val="5"/>
        <w:tblW w:w="10065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89"/>
        <w:gridCol w:w="6776"/>
      </w:tblGrid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6776" w:type="dxa"/>
            <w:vAlign w:val="center"/>
          </w:tcPr>
          <w:p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Комунальне некомерційне підприємство "Хмельницький обласний спеціалізований будинок дитини"</w:t>
            </w:r>
          </w:p>
        </w:tc>
      </w:tr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6776" w:type="dxa"/>
          </w:tcPr>
          <w:p>
            <w:pPr>
              <w:tabs>
                <w:tab w:val="left" w:pos="2160"/>
                <w:tab w:val="left" w:pos="3600"/>
              </w:tabs>
              <w:jc w:val="both"/>
              <w:rPr>
                <w:bCs/>
              </w:rPr>
            </w:pPr>
            <w:r>
              <w:rPr>
                <w:b/>
              </w:rPr>
              <w:t>29016, Хмельницька обл., місто Хмельницький, вул. Пулюя, будинок 4</w:t>
            </w:r>
          </w:p>
        </w:tc>
      </w:tr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b/>
              </w:rPr>
              <w:t>03397475</w:t>
            </w:r>
          </w:p>
        </w:tc>
      </w:tr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6776" w:type="dxa"/>
            <w:vAlign w:val="center"/>
          </w:tcPr>
          <w:p>
            <w:pPr>
              <w:pStyle w:val="2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  <w:r>
              <w:rPr>
                <w:b/>
                <w:shd w:val="clear" w:color="auto" w:fill="FFFFFF"/>
                <w:lang w:val="uk-UA"/>
              </w:rPr>
              <w:t>.</w:t>
            </w:r>
          </w:p>
        </w:tc>
      </w:tr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6776" w:type="dxa"/>
            <w:vAlign w:val="center"/>
          </w:tcPr>
          <w:p>
            <w:pPr>
              <w:pStyle w:val="21"/>
              <w:jc w:val="both"/>
              <w:rPr>
                <w:bCs/>
                <w:color w:val="auto"/>
                <w:lang w:val="uk-UA"/>
              </w:rPr>
            </w:pPr>
            <w:r>
              <w:rPr>
                <w:b/>
                <w:lang w:val="uk-UA"/>
              </w:rPr>
              <w:t>«код ДК 021:2015 - 79710000-4 «Охоронні послуги» (</w:t>
            </w:r>
            <w:r>
              <w:rPr>
                <w:lang w:val="uk-UA"/>
              </w:rPr>
              <w:t>Послуги з охорони приміщень Комунального некомерційного підприємства "Хмельницький обласний спеціалізований будинок дитини"</w:t>
            </w:r>
            <w:r>
              <w:rPr>
                <w:b/>
                <w:lang w:val="uk-UA"/>
              </w:rPr>
              <w:t>)»</w:t>
            </w:r>
          </w:p>
        </w:tc>
      </w:tr>
      <w:t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eastAsia="Times New Roman"/>
                <w:b/>
                <w:bCs/>
                <w:lang w:eastAsia="ru-RU"/>
              </w:rPr>
            </w:pPr>
            <w:r>
              <w:t>Послуги з охорони приміщень Комунального некомерційного підприємства "Хмельницький обласний спеціалізований будинок дитини"</w:t>
            </w:r>
            <w:r>
              <w:rPr>
                <w:b/>
              </w:rPr>
              <w:t>- 1 послуга</w:t>
            </w:r>
            <w:r>
              <w:rPr>
                <w:b/>
                <w:bCs/>
              </w:rPr>
              <w:t>.</w:t>
            </w:r>
          </w:p>
        </w:tc>
      </w:tr>
      <w:t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6776" w:type="dxa"/>
            <w:vAlign w:val="center"/>
          </w:tcPr>
          <w:p>
            <w:pPr>
              <w:ind w:firstLine="12"/>
              <w:jc w:val="both"/>
              <w:rPr>
                <w:b/>
              </w:rPr>
            </w:pPr>
            <w:r>
              <w:rPr>
                <w:b/>
              </w:rPr>
              <w:t>29016, Хмельницька обл., місто Хмельницький, вул. Пулюя, будинок 4. Приміщення, територія закладу</w:t>
            </w:r>
            <w:r>
              <w:rPr>
                <w:b/>
              </w:rPr>
              <w:t>.</w:t>
            </w:r>
          </w:p>
        </w:tc>
      </w:tr>
      <w:tr>
        <w:trPr>
          <w:trHeight w:val="1119" w:hRule="atLeast"/>
        </w:trP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6776" w:type="dxa"/>
            <w:vAlign w:val="center"/>
          </w:tcPr>
          <w:p>
            <w:pPr>
              <w:pStyle w:val="20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bCs w:val="0"/>
                <w:color w:val="auto"/>
                <w:highlight w:val="none"/>
                <w:lang w:val="uk-UA"/>
              </w:rPr>
            </w:pPr>
            <w:r>
              <w:rPr>
                <w:b/>
                <w:bCs w:val="0"/>
                <w:color w:val="auto"/>
                <w:highlight w:val="none"/>
                <w:lang w:val="uk-UA"/>
              </w:rPr>
              <w:t>396000.00  (триста дев’яносто шість тисяч гривень 00 копійок) з ПДВ.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bCs w:val="0"/>
                <w:color w:val="auto"/>
                <w:highlight w:val="none"/>
                <w:lang w:val="uk-UA"/>
              </w:rPr>
            </w:pPr>
          </w:p>
        </w:tc>
      </w:tr>
      <w:t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6776" w:type="dxa"/>
            <w:vAlign w:val="center"/>
          </w:tcPr>
          <w:p>
            <w:pPr>
              <w:rPr>
                <w:rStyle w:val="11"/>
                <w:rFonts w:eastAsia="Times New Roman"/>
                <w:b/>
                <w:bCs w:val="0"/>
                <w:color w:val="auto"/>
              </w:rPr>
            </w:pPr>
            <w:r>
              <w:rPr>
                <w:rFonts w:eastAsia="Times New Roman"/>
                <w:b/>
                <w:bCs w:val="0"/>
                <w:color w:val="auto"/>
                <w:lang w:eastAsia="ru-RU"/>
              </w:rPr>
              <w:t>до 31.12.2024 року</w:t>
            </w:r>
            <w:bookmarkStart w:id="0" w:name="_GoBack"/>
            <w:bookmarkEnd w:id="0"/>
          </w:p>
        </w:tc>
      </w:tr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6776" w:type="dxa"/>
            <w:vAlign w:val="center"/>
          </w:tcPr>
          <w:p>
            <w:pPr>
              <w:pStyle w:val="10"/>
              <w:spacing w:before="0" w:after="0"/>
              <w:jc w:val="both"/>
              <w:rPr>
                <w:b/>
                <w:bCs w:val="0"/>
                <w:color w:val="auto"/>
                <w:highlight w:val="none"/>
              </w:rPr>
            </w:pPr>
            <w:r>
              <w:rPr>
                <w:b/>
                <w:bCs w:val="0"/>
                <w:color w:val="auto"/>
                <w:highlight w:val="none"/>
              </w:rPr>
              <w:t>«16» січня 2024 року до 18:00 год.</w:t>
            </w:r>
          </w:p>
        </w:tc>
      </w:tr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6776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післяоплата; </w:t>
            </w:r>
          </w:p>
          <w:p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10 календарних днів; </w:t>
            </w:r>
          </w:p>
          <w:p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11"/>
                <w:b w:val="0"/>
                <w:bCs w:val="0"/>
                <w:lang w:val="uk-UA"/>
              </w:rPr>
            </w:pPr>
            <w:r>
              <w:rPr>
                <w:b/>
                <w:bCs/>
              </w:rPr>
              <w:t xml:space="preserve">Примітка: </w:t>
            </w:r>
            <w:r>
              <w:rPr>
                <w:lang w:val="uk-UA"/>
              </w:rPr>
              <w:t>Розрахунки проводяться шляхом оплати Замовником після пред'явлення Виконавцем рахунка на оплату послуг та після підписання Сторонами акту наданих послуг по мірі надходження коштів з бюджету на рахунок Замовника</w:t>
            </w:r>
            <w:r>
              <w:rPr>
                <w:rFonts w:eastAsia="Arial Unicode MS"/>
                <w:lang w:val="uk-UA" w:eastAsia="hi-IN" w:bidi="hi-IN"/>
              </w:rPr>
              <w:t xml:space="preserve">. </w:t>
            </w:r>
            <w:r>
              <w:rPr>
                <w:lang w:val="uk-UA"/>
              </w:rPr>
              <w:t>Оплата за надані послуги охорони проводиться щомісячно згідно наданих актів. Замовник здійснює оплату за надані послуги не пізніше 10 числа, наступного за</w:t>
            </w:r>
            <w:r>
              <w:rPr>
                <w:bCs/>
                <w:lang w:val="uk-UA"/>
              </w:rPr>
              <w:t xml:space="preserve"> звітним місяцем</w:t>
            </w:r>
            <w:r>
              <w:rPr>
                <w:lang w:val="uk-UA"/>
              </w:rPr>
              <w:t>.</w:t>
            </w:r>
          </w:p>
        </w:tc>
      </w:tr>
      <w:tr>
        <w:tc>
          <w:tcPr>
            <w:tcW w:w="3289" w:type="dxa"/>
            <w:vAlign w:val="center"/>
          </w:tcPr>
          <w:p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6776" w:type="dxa"/>
            <w:vAlign w:val="center"/>
          </w:tcPr>
          <w:p>
            <w:pPr>
              <w:jc w:val="both"/>
              <w:textAlignment w:val="top"/>
              <w:rPr>
                <w:rStyle w:val="11"/>
              </w:rPr>
            </w:pPr>
            <w:r>
              <w:rPr>
                <w:rStyle w:val="11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встановлене тендерною документацією</w:t>
            </w:r>
          </w:p>
        </w:tc>
      </w:tr>
      <w:t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6776" w:type="dxa"/>
            <w:vAlign w:val="center"/>
          </w:tcPr>
          <w:p>
            <w:pPr>
              <w:jc w:val="both"/>
              <w:textAlignment w:val="top"/>
              <w:rPr>
                <w:rStyle w:val="11"/>
              </w:rPr>
            </w:pPr>
            <w:r>
              <w:rPr>
                <w:rStyle w:val="11"/>
              </w:rPr>
              <w:t>Забезпечення тендерної пропозиції не вимагається</w:t>
            </w:r>
          </w:p>
        </w:tc>
      </w:tr>
      <w:t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6776" w:type="dxa"/>
            <w:vAlign w:val="center"/>
          </w:tcPr>
          <w:p>
            <w:pPr>
              <w:jc w:val="both"/>
              <w:textAlignment w:val="top"/>
              <w:rPr>
                <w:rStyle w:val="11"/>
              </w:rPr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 України «Про публічні закупівлі»</w:t>
            </w:r>
          </w:p>
        </w:tc>
      </w:tr>
      <w:t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6776" w:type="dxa"/>
            <w:vAlign w:val="center"/>
          </w:tcPr>
          <w:p>
            <w:pPr>
              <w:jc w:val="both"/>
              <w:textAlignment w:val="top"/>
              <w:rPr>
                <w:rStyle w:val="11"/>
              </w:rPr>
            </w:pPr>
            <w:r>
              <w:rPr>
                <w:rStyle w:val="11"/>
              </w:rPr>
              <w:t xml:space="preserve"> 0,5 %</w:t>
            </w:r>
          </w:p>
          <w:p>
            <w:pPr>
              <w:jc w:val="both"/>
              <w:textAlignment w:val="top"/>
              <w:rPr>
                <w:rStyle w:val="11"/>
              </w:rPr>
            </w:pPr>
          </w:p>
        </w:tc>
      </w:tr>
      <w:tr>
        <w:tc>
          <w:tcPr>
            <w:tcW w:w="3289" w:type="dxa"/>
            <w:vAlign w:val="center"/>
          </w:tcPr>
          <w:p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6776" w:type="dxa"/>
            <w:vAlign w:val="center"/>
          </w:tcPr>
          <w:p>
            <w:pPr>
              <w:jc w:val="both"/>
              <w:textAlignment w:val="top"/>
              <w:rPr>
                <w:rStyle w:val="11"/>
              </w:rPr>
            </w:pPr>
            <w:r>
              <w:rPr>
                <w:rStyle w:val="1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>
      <w:pPr>
        <w:textAlignment w:val="top"/>
        <w:rPr>
          <w:rFonts w:eastAsia="Times New Roman"/>
          <w:sz w:val="10"/>
          <w:szCs w:val="10"/>
        </w:rPr>
      </w:pPr>
    </w:p>
    <w:p>
      <w:pPr>
        <w:textAlignment w:val="top"/>
        <w:rPr>
          <w:rFonts w:eastAsia="Times New Roman"/>
          <w:sz w:val="10"/>
          <w:szCs w:val="10"/>
        </w:rPr>
      </w:pPr>
    </w:p>
    <w:p>
      <w:pPr>
        <w:textAlignment w:val="top"/>
        <w:rPr>
          <w:rFonts w:eastAsia="Times New Roman"/>
          <w:bCs/>
          <w:sz w:val="10"/>
          <w:szCs w:val="10"/>
        </w:rPr>
      </w:pPr>
    </w:p>
    <w:p>
      <w:pPr>
        <w:rPr>
          <w:rFonts w:eastAsia="Times New Roman"/>
          <w:bCs/>
        </w:rPr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 (зі змінами)</w:t>
      </w:r>
    </w:p>
    <w:p>
      <w:pPr>
        <w:pStyle w:val="20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bCs/>
          <w:lang w:val="uk-UA"/>
        </w:rPr>
      </w:pPr>
    </w:p>
    <w:p>
      <w:pPr>
        <w:pStyle w:val="20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bCs/>
          <w:lang w:val="uk-U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4"/>
        <w:gridCol w:w="3285"/>
        <w:gridCol w:w="3089"/>
      </w:tblGrid>
      <w:tr>
        <w:trPr>
          <w:trHeight w:val="131" w:hRule="atLeast"/>
          <w:jc w:val="center"/>
        </w:trPr>
        <w:tc>
          <w:tcPr>
            <w:tcW w:w="3664" w:type="dxa"/>
          </w:tcPr>
          <w:p>
            <w:pPr>
              <w:tabs>
                <w:tab w:val="left" w:pos="1440"/>
              </w:tabs>
              <w:ind w:firstLine="3"/>
              <w:jc w:val="center"/>
              <w:rPr>
                <w:b/>
              </w:rPr>
            </w:pPr>
          </w:p>
          <w:p>
            <w:pPr>
              <w:tabs>
                <w:tab w:val="left" w:pos="1440"/>
              </w:tabs>
              <w:ind w:firstLine="3"/>
              <w:jc w:val="center"/>
            </w:pPr>
            <w:r>
              <w:rPr>
                <w:b/>
              </w:rPr>
              <w:t>Уповноважена особа</w:t>
            </w:r>
          </w:p>
          <w:p>
            <w:pPr>
              <w:shd w:val="clear" w:color="auto" w:fill="FFFFFF"/>
              <w:jc w:val="center"/>
            </w:pPr>
            <w:r>
              <w:rPr>
                <w:b/>
              </w:rPr>
              <w:t>Комунального некомерційного підприємства "Хмельницький обласний спеціалізований будинок дитини"</w:t>
            </w:r>
          </w:p>
          <w:p>
            <w:pPr>
              <w:shd w:val="clear" w:color="auto" w:fill="FFFFFF"/>
              <w:ind w:firstLine="3"/>
              <w:rPr>
                <w:i/>
              </w:rPr>
            </w:pPr>
          </w:p>
        </w:tc>
        <w:tc>
          <w:tcPr>
            <w:tcW w:w="3285" w:type="dxa"/>
            <w:vAlign w:val="center"/>
          </w:tcPr>
          <w:p>
            <w:pPr>
              <w:tabs>
                <w:tab w:val="left" w:pos="1440"/>
              </w:tabs>
              <w:jc w:val="center"/>
            </w:pPr>
            <w:r>
              <w:t>________________</w:t>
            </w:r>
          </w:p>
        </w:tc>
        <w:tc>
          <w:tcPr>
            <w:tcW w:w="3089" w:type="dxa"/>
            <w:vAlign w:val="center"/>
          </w:tcPr>
          <w:p>
            <w:pPr>
              <w:tabs>
                <w:tab w:val="left" w:pos="1440"/>
              </w:tabs>
            </w:pPr>
            <w:r>
              <w:rPr>
                <w:b/>
              </w:rPr>
              <w:t>Довбета Яна Анатоліївна</w:t>
            </w:r>
          </w:p>
        </w:tc>
      </w:tr>
    </w:tbl>
    <w:p>
      <w:pPr>
        <w:pStyle w:val="20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bCs/>
          <w:lang w:val="uk-U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2" w:right="850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等线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0"/>
    <w:rsid w:val="00003D82"/>
    <w:rsid w:val="0001702B"/>
    <w:rsid w:val="000211CD"/>
    <w:rsid w:val="00025A5F"/>
    <w:rsid w:val="00055DBA"/>
    <w:rsid w:val="00063BEF"/>
    <w:rsid w:val="000A5EE6"/>
    <w:rsid w:val="000B58AF"/>
    <w:rsid w:val="000C6962"/>
    <w:rsid w:val="000D15EB"/>
    <w:rsid w:val="000F1459"/>
    <w:rsid w:val="000F25CC"/>
    <w:rsid w:val="000F2936"/>
    <w:rsid w:val="001005C6"/>
    <w:rsid w:val="00101E0B"/>
    <w:rsid w:val="00102CAE"/>
    <w:rsid w:val="00110BB8"/>
    <w:rsid w:val="001178B6"/>
    <w:rsid w:val="00136F48"/>
    <w:rsid w:val="0015045A"/>
    <w:rsid w:val="00160DAA"/>
    <w:rsid w:val="0016219A"/>
    <w:rsid w:val="00173C3F"/>
    <w:rsid w:val="001750A1"/>
    <w:rsid w:val="00177751"/>
    <w:rsid w:val="00182219"/>
    <w:rsid w:val="001900A9"/>
    <w:rsid w:val="001B0C45"/>
    <w:rsid w:val="001B60EB"/>
    <w:rsid w:val="001D7280"/>
    <w:rsid w:val="001D7A73"/>
    <w:rsid w:val="002005B9"/>
    <w:rsid w:val="0020529D"/>
    <w:rsid w:val="0020778B"/>
    <w:rsid w:val="0021563B"/>
    <w:rsid w:val="0022430B"/>
    <w:rsid w:val="00245B4C"/>
    <w:rsid w:val="00256CE3"/>
    <w:rsid w:val="00293707"/>
    <w:rsid w:val="0029390A"/>
    <w:rsid w:val="002A4621"/>
    <w:rsid w:val="002B049C"/>
    <w:rsid w:val="002D53E3"/>
    <w:rsid w:val="002D7108"/>
    <w:rsid w:val="002E0447"/>
    <w:rsid w:val="002F6EDB"/>
    <w:rsid w:val="0030334B"/>
    <w:rsid w:val="00305679"/>
    <w:rsid w:val="00306AEF"/>
    <w:rsid w:val="00313FAB"/>
    <w:rsid w:val="0033532E"/>
    <w:rsid w:val="00352B0B"/>
    <w:rsid w:val="0037185D"/>
    <w:rsid w:val="00395805"/>
    <w:rsid w:val="00396605"/>
    <w:rsid w:val="003C6B98"/>
    <w:rsid w:val="003D1B44"/>
    <w:rsid w:val="003D6259"/>
    <w:rsid w:val="003E1630"/>
    <w:rsid w:val="003F09C9"/>
    <w:rsid w:val="003F4B0E"/>
    <w:rsid w:val="00405434"/>
    <w:rsid w:val="004154F7"/>
    <w:rsid w:val="00416E50"/>
    <w:rsid w:val="00425488"/>
    <w:rsid w:val="0042633D"/>
    <w:rsid w:val="004308DA"/>
    <w:rsid w:val="00437CEF"/>
    <w:rsid w:val="004574B9"/>
    <w:rsid w:val="004860D1"/>
    <w:rsid w:val="004A6126"/>
    <w:rsid w:val="004A7A55"/>
    <w:rsid w:val="004B1233"/>
    <w:rsid w:val="004C4838"/>
    <w:rsid w:val="004C70EE"/>
    <w:rsid w:val="004F5446"/>
    <w:rsid w:val="00501648"/>
    <w:rsid w:val="005309AC"/>
    <w:rsid w:val="00531AF6"/>
    <w:rsid w:val="005332E8"/>
    <w:rsid w:val="0053597C"/>
    <w:rsid w:val="005660FA"/>
    <w:rsid w:val="00572CA1"/>
    <w:rsid w:val="00575010"/>
    <w:rsid w:val="005A056E"/>
    <w:rsid w:val="005A081E"/>
    <w:rsid w:val="005B1F53"/>
    <w:rsid w:val="005B75F2"/>
    <w:rsid w:val="005F22C9"/>
    <w:rsid w:val="005F60B5"/>
    <w:rsid w:val="006041E3"/>
    <w:rsid w:val="006064E6"/>
    <w:rsid w:val="0060668D"/>
    <w:rsid w:val="006137A1"/>
    <w:rsid w:val="00623987"/>
    <w:rsid w:val="00623F4E"/>
    <w:rsid w:val="00643D14"/>
    <w:rsid w:val="006564FD"/>
    <w:rsid w:val="00661BD3"/>
    <w:rsid w:val="0067577D"/>
    <w:rsid w:val="00675DF1"/>
    <w:rsid w:val="00685E3E"/>
    <w:rsid w:val="00694272"/>
    <w:rsid w:val="00695827"/>
    <w:rsid w:val="00695B04"/>
    <w:rsid w:val="006A2878"/>
    <w:rsid w:val="006A2FBC"/>
    <w:rsid w:val="006A3A26"/>
    <w:rsid w:val="006C5775"/>
    <w:rsid w:val="006C778B"/>
    <w:rsid w:val="006E06B8"/>
    <w:rsid w:val="006E66C6"/>
    <w:rsid w:val="006F0166"/>
    <w:rsid w:val="006F0E52"/>
    <w:rsid w:val="006F6DEB"/>
    <w:rsid w:val="00702812"/>
    <w:rsid w:val="00704B3D"/>
    <w:rsid w:val="007071EF"/>
    <w:rsid w:val="00710CD7"/>
    <w:rsid w:val="00712F9B"/>
    <w:rsid w:val="007164A4"/>
    <w:rsid w:val="007220D5"/>
    <w:rsid w:val="007253AB"/>
    <w:rsid w:val="0072576A"/>
    <w:rsid w:val="00732277"/>
    <w:rsid w:val="00754919"/>
    <w:rsid w:val="007773B3"/>
    <w:rsid w:val="007A274E"/>
    <w:rsid w:val="007A6C39"/>
    <w:rsid w:val="007B1ECF"/>
    <w:rsid w:val="007B4741"/>
    <w:rsid w:val="007E003B"/>
    <w:rsid w:val="007E17F3"/>
    <w:rsid w:val="007E6D6F"/>
    <w:rsid w:val="007F4DEC"/>
    <w:rsid w:val="00803B3E"/>
    <w:rsid w:val="00803C41"/>
    <w:rsid w:val="00804312"/>
    <w:rsid w:val="00810344"/>
    <w:rsid w:val="00817A95"/>
    <w:rsid w:val="008208F9"/>
    <w:rsid w:val="00820F36"/>
    <w:rsid w:val="0082124D"/>
    <w:rsid w:val="00831AD0"/>
    <w:rsid w:val="00843071"/>
    <w:rsid w:val="00857F7C"/>
    <w:rsid w:val="00863FC8"/>
    <w:rsid w:val="00870900"/>
    <w:rsid w:val="008739E0"/>
    <w:rsid w:val="008900AD"/>
    <w:rsid w:val="0089182D"/>
    <w:rsid w:val="008B284B"/>
    <w:rsid w:val="008D14BE"/>
    <w:rsid w:val="008D7546"/>
    <w:rsid w:val="008F5930"/>
    <w:rsid w:val="0090137B"/>
    <w:rsid w:val="00903E79"/>
    <w:rsid w:val="0090705F"/>
    <w:rsid w:val="009269F5"/>
    <w:rsid w:val="00933F75"/>
    <w:rsid w:val="009347A4"/>
    <w:rsid w:val="009404CF"/>
    <w:rsid w:val="009466B3"/>
    <w:rsid w:val="00946B98"/>
    <w:rsid w:val="00955906"/>
    <w:rsid w:val="00962133"/>
    <w:rsid w:val="00971F85"/>
    <w:rsid w:val="00975448"/>
    <w:rsid w:val="0098127B"/>
    <w:rsid w:val="009914A2"/>
    <w:rsid w:val="0099273F"/>
    <w:rsid w:val="009A453C"/>
    <w:rsid w:val="009B7602"/>
    <w:rsid w:val="009C2253"/>
    <w:rsid w:val="009D1360"/>
    <w:rsid w:val="009E0500"/>
    <w:rsid w:val="009E2608"/>
    <w:rsid w:val="009F6DB9"/>
    <w:rsid w:val="00A027FD"/>
    <w:rsid w:val="00A10406"/>
    <w:rsid w:val="00A173D3"/>
    <w:rsid w:val="00A254E6"/>
    <w:rsid w:val="00A3561A"/>
    <w:rsid w:val="00A47D35"/>
    <w:rsid w:val="00A56BBF"/>
    <w:rsid w:val="00A670D9"/>
    <w:rsid w:val="00A821F2"/>
    <w:rsid w:val="00A839C8"/>
    <w:rsid w:val="00A96B26"/>
    <w:rsid w:val="00AB3023"/>
    <w:rsid w:val="00AD5188"/>
    <w:rsid w:val="00AE38E3"/>
    <w:rsid w:val="00AF7478"/>
    <w:rsid w:val="00B2204A"/>
    <w:rsid w:val="00B27955"/>
    <w:rsid w:val="00B27BAB"/>
    <w:rsid w:val="00B53397"/>
    <w:rsid w:val="00B549FB"/>
    <w:rsid w:val="00B6649F"/>
    <w:rsid w:val="00B7233D"/>
    <w:rsid w:val="00B7575E"/>
    <w:rsid w:val="00B84BA3"/>
    <w:rsid w:val="00B960E5"/>
    <w:rsid w:val="00B96B37"/>
    <w:rsid w:val="00BA7CDF"/>
    <w:rsid w:val="00BD7551"/>
    <w:rsid w:val="00BE6648"/>
    <w:rsid w:val="00BE7DF2"/>
    <w:rsid w:val="00BF5B2A"/>
    <w:rsid w:val="00BF64D4"/>
    <w:rsid w:val="00C0388C"/>
    <w:rsid w:val="00C1627C"/>
    <w:rsid w:val="00C16DD6"/>
    <w:rsid w:val="00C232C4"/>
    <w:rsid w:val="00C25637"/>
    <w:rsid w:val="00C351DF"/>
    <w:rsid w:val="00C37B21"/>
    <w:rsid w:val="00C42B11"/>
    <w:rsid w:val="00C4680D"/>
    <w:rsid w:val="00C51275"/>
    <w:rsid w:val="00C64166"/>
    <w:rsid w:val="00C70953"/>
    <w:rsid w:val="00C778A5"/>
    <w:rsid w:val="00C82268"/>
    <w:rsid w:val="00C91E53"/>
    <w:rsid w:val="00CA1A24"/>
    <w:rsid w:val="00CA2FF3"/>
    <w:rsid w:val="00CB3BF3"/>
    <w:rsid w:val="00CB5753"/>
    <w:rsid w:val="00CB73B3"/>
    <w:rsid w:val="00CC2367"/>
    <w:rsid w:val="00CD2800"/>
    <w:rsid w:val="00CD34A5"/>
    <w:rsid w:val="00CD3CE6"/>
    <w:rsid w:val="00CF28CB"/>
    <w:rsid w:val="00CF3911"/>
    <w:rsid w:val="00D1388F"/>
    <w:rsid w:val="00D20208"/>
    <w:rsid w:val="00D2619D"/>
    <w:rsid w:val="00D34303"/>
    <w:rsid w:val="00D50361"/>
    <w:rsid w:val="00D633A2"/>
    <w:rsid w:val="00D7106B"/>
    <w:rsid w:val="00D770B9"/>
    <w:rsid w:val="00D871FA"/>
    <w:rsid w:val="00D87246"/>
    <w:rsid w:val="00DB5DC0"/>
    <w:rsid w:val="00DC4C29"/>
    <w:rsid w:val="00DD40C8"/>
    <w:rsid w:val="00DD54A4"/>
    <w:rsid w:val="00DE615C"/>
    <w:rsid w:val="00E06F47"/>
    <w:rsid w:val="00E3616F"/>
    <w:rsid w:val="00E37DAA"/>
    <w:rsid w:val="00E4624C"/>
    <w:rsid w:val="00E52FE4"/>
    <w:rsid w:val="00E758F6"/>
    <w:rsid w:val="00E80F0B"/>
    <w:rsid w:val="00E86E39"/>
    <w:rsid w:val="00EA11B9"/>
    <w:rsid w:val="00EA1F55"/>
    <w:rsid w:val="00EB3C09"/>
    <w:rsid w:val="00EC1376"/>
    <w:rsid w:val="00EF218C"/>
    <w:rsid w:val="00EF7A4C"/>
    <w:rsid w:val="00F056EA"/>
    <w:rsid w:val="00F26CF5"/>
    <w:rsid w:val="00F5688C"/>
    <w:rsid w:val="00F60617"/>
    <w:rsid w:val="00F61AE1"/>
    <w:rsid w:val="00F669CA"/>
    <w:rsid w:val="00F712A0"/>
    <w:rsid w:val="00F87669"/>
    <w:rsid w:val="00F945D5"/>
    <w:rsid w:val="00F949E8"/>
    <w:rsid w:val="00FB1B65"/>
    <w:rsid w:val="00FB4820"/>
    <w:rsid w:val="00FB7BE6"/>
    <w:rsid w:val="00FC25DE"/>
    <w:rsid w:val="00FC4872"/>
    <w:rsid w:val="00FE1F74"/>
    <w:rsid w:val="00FE52E5"/>
    <w:rsid w:val="00FF2126"/>
    <w:rsid w:val="00FF3189"/>
    <w:rsid w:val="BFDAE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uk-UA" w:eastAsia="uk-UA" w:bidi="ar-SA"/>
    </w:rPr>
  </w:style>
  <w:style w:type="paragraph" w:styleId="2">
    <w:name w:val="heading 1"/>
    <w:basedOn w:val="3"/>
    <w:next w:val="1"/>
    <w:link w:val="15"/>
    <w:qFormat/>
    <w:uiPriority w:val="9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819"/>
        <w:tab w:val="right" w:pos="9639"/>
      </w:tabs>
    </w:pPr>
  </w:style>
  <w:style w:type="paragraph" w:styleId="8">
    <w:name w:val="header"/>
    <w:basedOn w:val="1"/>
    <w:link w:val="16"/>
    <w:unhideWhenUsed/>
    <w:uiPriority w:val="99"/>
    <w:pPr>
      <w:tabs>
        <w:tab w:val="center" w:pos="4819"/>
        <w:tab w:val="right" w:pos="9639"/>
      </w:tabs>
    </w:p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0">
    <w:name w:val="Normal (Web)"/>
    <w:basedOn w:val="1"/>
    <w:link w:val="19"/>
    <w:qFormat/>
    <w:uiPriority w:val="0"/>
    <w:pPr>
      <w:suppressAutoHyphens/>
      <w:spacing w:before="280" w:after="280"/>
    </w:pPr>
    <w:rPr>
      <w:rFonts w:eastAsia="Times New Roman"/>
      <w:lang w:eastAsia="zh-CN"/>
    </w:rPr>
  </w:style>
  <w:style w:type="character" w:styleId="11">
    <w:name w:val="Strong"/>
    <w:basedOn w:val="4"/>
    <w:qFormat/>
    <w:uiPriority w:val="22"/>
    <w:rPr>
      <w:b/>
      <w:bCs/>
    </w:rPr>
  </w:style>
  <w:style w:type="character" w:customStyle="1" w:styleId="12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customStyle="1" w:styleId="13">
    <w:name w:val="msonormal"/>
    <w:basedOn w:val="1"/>
    <w:uiPriority w:val="0"/>
    <w:pPr>
      <w:spacing w:before="100" w:beforeAutospacing="1" w:after="100" w:afterAutospacing="1"/>
    </w:pPr>
  </w:style>
  <w:style w:type="paragraph" w:customStyle="1" w:styleId="14">
    <w:name w:val="small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character" w:customStyle="1" w:styleId="15">
    <w:name w:val="Заголовок 1 Знак"/>
    <w:basedOn w:val="4"/>
    <w:link w:val="2"/>
    <w:uiPriority w:val="9"/>
    <w:rPr>
      <w:b/>
      <w:bCs/>
      <w:sz w:val="24"/>
      <w:szCs w:val="24"/>
    </w:rPr>
  </w:style>
  <w:style w:type="character" w:customStyle="1" w:styleId="16">
    <w:name w:val="Верхний колонтитул Знак"/>
    <w:basedOn w:val="4"/>
    <w:link w:val="8"/>
    <w:uiPriority w:val="99"/>
    <w:rPr>
      <w:rFonts w:eastAsiaTheme="minorEastAsia"/>
      <w:sz w:val="24"/>
      <w:szCs w:val="24"/>
    </w:rPr>
  </w:style>
  <w:style w:type="character" w:customStyle="1" w:styleId="17">
    <w:name w:val="Нижний колонтитул Знак"/>
    <w:basedOn w:val="4"/>
    <w:link w:val="7"/>
    <w:uiPriority w:val="99"/>
    <w:rPr>
      <w:rFonts w:eastAsiaTheme="minorEastAsia"/>
      <w:sz w:val="24"/>
      <w:szCs w:val="24"/>
    </w:rPr>
  </w:style>
  <w:style w:type="character" w:customStyle="1" w:styleId="18">
    <w:name w:val="Текст выноски Знак"/>
    <w:basedOn w:val="4"/>
    <w:link w:val="6"/>
    <w:semiHidden/>
    <w:uiPriority w:val="99"/>
    <w:rPr>
      <w:rFonts w:ascii="Segoe UI" w:hAnsi="Segoe UI" w:cs="Segoe UI" w:eastAsiaTheme="minorEastAsia"/>
      <w:sz w:val="18"/>
      <w:szCs w:val="18"/>
    </w:rPr>
  </w:style>
  <w:style w:type="character" w:customStyle="1" w:styleId="19">
    <w:name w:val="Обычный (веб) Знак"/>
    <w:link w:val="10"/>
    <w:locked/>
    <w:uiPriority w:val="0"/>
    <w:rPr>
      <w:sz w:val="24"/>
      <w:szCs w:val="24"/>
      <w:lang w:eastAsia="zh-CN"/>
    </w:rPr>
  </w:style>
  <w:style w:type="paragraph" w:customStyle="1" w:styleId="20">
    <w:name w:val="rvps2"/>
    <w:basedOn w:val="1"/>
    <w:uiPriority w:val="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1">
    <w:name w:val="Default"/>
    <w:uiPriority w:val="0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2042</Words>
  <Characters>1165</Characters>
  <Lines>9</Lines>
  <Paragraphs>6</Paragraphs>
  <TotalTime>0</TotalTime>
  <ScaleCrop>false</ScaleCrop>
  <LinksUpToDate>false</LinksUpToDate>
  <CharactersWithSpaces>3201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2020-12-24T16:05:00Z</dcterms:created>
  <dcterms:modified xsi:type="dcterms:W3CDTF">2024-01-08T15:47:56Z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