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8C" w:rsidRPr="009C378F" w:rsidRDefault="0071258C" w:rsidP="007125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78F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71258C" w:rsidRPr="009C378F" w:rsidRDefault="0071258C" w:rsidP="007125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78F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9D56C7" w:rsidRPr="009C378F" w:rsidRDefault="009D56C7" w:rsidP="007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AEB" w:rsidRPr="009C378F" w:rsidRDefault="00A26AEB" w:rsidP="007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1DCC" w:rsidRPr="009C378F" w:rsidRDefault="00C731CB" w:rsidP="007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8F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C731CB" w:rsidRPr="009C378F" w:rsidRDefault="00C731CB" w:rsidP="0071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>Предмет закупівлі: «</w:t>
      </w:r>
      <w:r w:rsidRPr="009C378F">
        <w:rPr>
          <w:rFonts w:ascii="Times New Roman" w:hAnsi="Times New Roman" w:cs="Times New Roman"/>
          <w:b/>
          <w:sz w:val="24"/>
          <w:szCs w:val="24"/>
        </w:rPr>
        <w:t xml:space="preserve">код ДК 021: 2015: 50530000-9 Послуги з ремонту і технічного обслуговування техніки </w:t>
      </w:r>
      <w:r w:rsidRPr="009C378F">
        <w:rPr>
          <w:rFonts w:ascii="Times New Roman" w:hAnsi="Times New Roman" w:cs="Times New Roman"/>
          <w:sz w:val="24"/>
          <w:szCs w:val="24"/>
        </w:rPr>
        <w:t>(Технічне обслуговування систем газопостачання та газового обладнання</w:t>
      </w:r>
      <w:r w:rsidR="00DF4939" w:rsidRPr="009C378F">
        <w:rPr>
          <w:rFonts w:ascii="Times New Roman" w:hAnsi="Times New Roman" w:cs="Times New Roman"/>
          <w:sz w:val="24"/>
          <w:szCs w:val="24"/>
        </w:rPr>
        <w:t xml:space="preserve"> (крім ВОГ)</w:t>
      </w:r>
      <w:r w:rsidRPr="009C378F">
        <w:rPr>
          <w:rFonts w:ascii="Times New Roman" w:hAnsi="Times New Roman" w:cs="Times New Roman"/>
          <w:sz w:val="24"/>
          <w:szCs w:val="24"/>
        </w:rPr>
        <w:t>)»</w:t>
      </w:r>
    </w:p>
    <w:p w:rsidR="00C731CB" w:rsidRPr="009C378F" w:rsidRDefault="00C731CB" w:rsidP="0071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7CA" w:rsidRDefault="002737CA" w:rsidP="007125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Надання послуг має здійснюватися з 01.01.202</w:t>
      </w:r>
      <w:r w:rsidR="00EE355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року по 31.12.202</w:t>
      </w:r>
      <w:r w:rsidR="00EE35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731CB" w:rsidRPr="009C378F" w:rsidRDefault="00C731CB" w:rsidP="007125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>Учасник має забезпечити технічне обслуговування систем газопостачання та газового обладнання (крім ВОГ) відповідно до вимог Правил безпеки систем газопостачання, Кодексу газорозподільчих систем та документації з експлуатації заводів – виробників газового обладнання.</w:t>
      </w:r>
    </w:p>
    <w:p w:rsidR="00C731CB" w:rsidRPr="009C378F" w:rsidRDefault="00C731CB" w:rsidP="007125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 xml:space="preserve">Учасник, для проведення робіт з технічного обслуговування </w:t>
      </w:r>
      <w:r w:rsidR="00A26AEB" w:rsidRPr="009C378F">
        <w:rPr>
          <w:rFonts w:ascii="Times New Roman" w:hAnsi="Times New Roman" w:cs="Times New Roman"/>
          <w:sz w:val="24"/>
          <w:szCs w:val="24"/>
        </w:rPr>
        <w:t>систем газопостачання та газового обладнання</w:t>
      </w:r>
      <w:r w:rsidRPr="009C378F">
        <w:rPr>
          <w:rFonts w:ascii="Times New Roman" w:hAnsi="Times New Roman" w:cs="Times New Roman"/>
          <w:sz w:val="24"/>
          <w:szCs w:val="24"/>
        </w:rPr>
        <w:t xml:space="preserve"> відповідно до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 затвердженого постановою Кабінетом міністрів України від 26 жовтня 2011р. № 1107</w:t>
      </w:r>
      <w:r w:rsidR="002B4263" w:rsidRPr="009C378F">
        <w:rPr>
          <w:rFonts w:ascii="Times New Roman" w:hAnsi="Times New Roman" w:cs="Times New Roman"/>
          <w:sz w:val="24"/>
          <w:szCs w:val="24"/>
        </w:rPr>
        <w:t xml:space="preserve"> (із змінами, внесеними згідно з Постановою КМ № 77 від 03.02.2021) зобов</w:t>
      </w:r>
      <w:r w:rsidR="0071258C" w:rsidRPr="009C378F">
        <w:rPr>
          <w:rFonts w:ascii="Times New Roman" w:hAnsi="Times New Roman" w:cs="Times New Roman"/>
          <w:sz w:val="24"/>
          <w:szCs w:val="24"/>
        </w:rPr>
        <w:t>’</w:t>
      </w:r>
      <w:r w:rsidR="002B4263" w:rsidRPr="009C378F">
        <w:rPr>
          <w:rFonts w:ascii="Times New Roman" w:hAnsi="Times New Roman" w:cs="Times New Roman"/>
          <w:sz w:val="24"/>
          <w:szCs w:val="24"/>
        </w:rPr>
        <w:t>язаний надати:</w:t>
      </w:r>
    </w:p>
    <w:p w:rsidR="002B4263" w:rsidRPr="009C378F" w:rsidRDefault="00393AA1" w:rsidP="007125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>д</w:t>
      </w:r>
      <w:r w:rsidR="002B4263" w:rsidRPr="009C378F">
        <w:rPr>
          <w:rFonts w:ascii="Times New Roman" w:hAnsi="Times New Roman" w:cs="Times New Roman"/>
          <w:sz w:val="24"/>
          <w:szCs w:val="24"/>
        </w:rPr>
        <w:t>озвіл на виконання робіт підвищеної небезпеки (монтаж, демонтаж, налагодження, ремонт, технічне обслуговування машин, механізмів, устаткування підвищеної небезпеки</w:t>
      </w:r>
      <w:r w:rsidR="00A26AEB" w:rsidRPr="009C378F">
        <w:rPr>
          <w:rFonts w:ascii="Times New Roman" w:hAnsi="Times New Roman" w:cs="Times New Roman"/>
          <w:sz w:val="24"/>
          <w:szCs w:val="24"/>
        </w:rPr>
        <w:t>)</w:t>
      </w:r>
      <w:r w:rsidR="002B4263" w:rsidRPr="009C378F">
        <w:rPr>
          <w:rFonts w:ascii="Times New Roman" w:hAnsi="Times New Roman" w:cs="Times New Roman"/>
          <w:sz w:val="24"/>
          <w:szCs w:val="24"/>
        </w:rPr>
        <w:t>;</w:t>
      </w:r>
    </w:p>
    <w:p w:rsidR="002B4263" w:rsidRPr="009C378F" w:rsidRDefault="00A26AEB" w:rsidP="007125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 xml:space="preserve">дозвіл на </w:t>
      </w:r>
      <w:r w:rsidR="00393AA1" w:rsidRPr="009C378F">
        <w:rPr>
          <w:rFonts w:ascii="Times New Roman" w:hAnsi="Times New Roman" w:cs="Times New Roman"/>
          <w:sz w:val="24"/>
          <w:szCs w:val="24"/>
        </w:rPr>
        <w:t>г</w:t>
      </w:r>
      <w:r w:rsidR="002B4263" w:rsidRPr="009C378F">
        <w:rPr>
          <w:rFonts w:ascii="Times New Roman" w:hAnsi="Times New Roman" w:cs="Times New Roman"/>
          <w:sz w:val="24"/>
          <w:szCs w:val="24"/>
        </w:rPr>
        <w:t xml:space="preserve">азонебезпечні роботи та роботи у </w:t>
      </w:r>
      <w:proofErr w:type="spellStart"/>
      <w:r w:rsidR="002B4263" w:rsidRPr="009C378F">
        <w:rPr>
          <w:rFonts w:ascii="Times New Roman" w:hAnsi="Times New Roman" w:cs="Times New Roman"/>
          <w:sz w:val="24"/>
          <w:szCs w:val="24"/>
        </w:rPr>
        <w:t>вибухо</w:t>
      </w:r>
      <w:r w:rsidR="0071258C" w:rsidRPr="009C378F">
        <w:rPr>
          <w:rFonts w:ascii="Times New Roman" w:hAnsi="Times New Roman" w:cs="Times New Roman"/>
          <w:sz w:val="24"/>
          <w:szCs w:val="24"/>
        </w:rPr>
        <w:t>-</w:t>
      </w:r>
      <w:r w:rsidR="002B4263" w:rsidRPr="009C378F">
        <w:rPr>
          <w:rFonts w:ascii="Times New Roman" w:hAnsi="Times New Roman" w:cs="Times New Roman"/>
          <w:sz w:val="24"/>
          <w:szCs w:val="24"/>
        </w:rPr>
        <w:t>пожежно</w:t>
      </w:r>
      <w:proofErr w:type="spellEnd"/>
      <w:r w:rsidR="00F45E0D">
        <w:rPr>
          <w:rFonts w:ascii="Times New Roman" w:hAnsi="Times New Roman" w:cs="Times New Roman"/>
          <w:sz w:val="24"/>
          <w:szCs w:val="24"/>
        </w:rPr>
        <w:t xml:space="preserve"> </w:t>
      </w:r>
      <w:r w:rsidR="002B4263" w:rsidRPr="009C378F">
        <w:rPr>
          <w:rFonts w:ascii="Times New Roman" w:hAnsi="Times New Roman" w:cs="Times New Roman"/>
          <w:sz w:val="24"/>
          <w:szCs w:val="24"/>
        </w:rPr>
        <w:t>небезпечних зонах;</w:t>
      </w:r>
    </w:p>
    <w:p w:rsidR="00F45E0D" w:rsidRDefault="00393AA1" w:rsidP="00F45E0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>д</w:t>
      </w:r>
      <w:r w:rsidR="002B4263" w:rsidRPr="009C378F">
        <w:rPr>
          <w:rFonts w:ascii="Times New Roman" w:hAnsi="Times New Roman" w:cs="Times New Roman"/>
          <w:sz w:val="24"/>
          <w:szCs w:val="24"/>
        </w:rPr>
        <w:t>озвіл на експлуатацію (застосування) машин, механізмів, устаткування підвищеної небезпеки.</w:t>
      </w:r>
    </w:p>
    <w:p w:rsidR="00393AA1" w:rsidRPr="00F45E0D" w:rsidRDefault="00F45E0D" w:rsidP="007125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E0D">
        <w:rPr>
          <w:rFonts w:ascii="Times New Roman" w:hAnsi="Times New Roman" w:cs="Times New Roman"/>
          <w:sz w:val="24"/>
          <w:szCs w:val="24"/>
        </w:rPr>
        <w:t>дозвіл виконувати роботи підвищеної небезпеки: роботи в колодязях, шурфах, траншеях, котлованах, замкнутому просторі (</w:t>
      </w:r>
      <w:proofErr w:type="spellStart"/>
      <w:r w:rsidRPr="00F45E0D">
        <w:rPr>
          <w:rFonts w:ascii="Times New Roman" w:hAnsi="Times New Roman" w:cs="Times New Roman"/>
          <w:sz w:val="24"/>
          <w:szCs w:val="24"/>
        </w:rPr>
        <w:t>ємностях</w:t>
      </w:r>
      <w:proofErr w:type="spellEnd"/>
      <w:r w:rsidRPr="00F45E0D">
        <w:rPr>
          <w:rFonts w:ascii="Times New Roman" w:hAnsi="Times New Roman" w:cs="Times New Roman"/>
          <w:sz w:val="24"/>
          <w:szCs w:val="24"/>
        </w:rPr>
        <w:t>, боксах); земляні роботи, що виконуються на глибині понад 2 метри або в зоні розташування підземних комунікацій.</w:t>
      </w:r>
    </w:p>
    <w:p w:rsidR="00D41AB2" w:rsidRDefault="002B4263" w:rsidP="00D41AB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 xml:space="preserve">Учасник повинен надати довідку в довільній формі про те, що він має можливість забезпечити </w:t>
      </w:r>
      <w:proofErr w:type="spellStart"/>
      <w:r w:rsidRPr="009C378F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Pr="009C378F">
        <w:rPr>
          <w:rFonts w:ascii="Times New Roman" w:hAnsi="Times New Roman" w:cs="Times New Roman"/>
          <w:sz w:val="24"/>
          <w:szCs w:val="24"/>
        </w:rPr>
        <w:t>-диспетчерське управління газовими мережами та виконання планово профілактичних і аварійно – відновлювальних робіт по газифікованих об`єктах Замовника, за вказаними в умовах оголошення адресами.</w:t>
      </w:r>
    </w:p>
    <w:p w:rsidR="00D41AB2" w:rsidRPr="00D41AB2" w:rsidRDefault="00D41AB2" w:rsidP="00D41AB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1AB2">
        <w:rPr>
          <w:rFonts w:ascii="Times New Roman" w:hAnsi="Times New Roman" w:cs="Times New Roman"/>
          <w:sz w:val="24"/>
          <w:szCs w:val="24"/>
        </w:rPr>
        <w:t>Якість послуг повинна відповідати умовам Державних норм України «Газопостачання», Правил безпеки систем газопостачання (НПАОП 0Ю00-1,76-15).</w:t>
      </w:r>
    </w:p>
    <w:p w:rsidR="00D41AB2" w:rsidRPr="00D41AB2" w:rsidRDefault="00D41AB2" w:rsidP="00D4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B2">
        <w:rPr>
          <w:rFonts w:ascii="Times New Roman" w:hAnsi="Times New Roman" w:cs="Times New Roman"/>
          <w:sz w:val="24"/>
          <w:szCs w:val="24"/>
        </w:rPr>
        <w:t>Послуги повинні виконуватись відповідно вимогам охорони праці, екології та пожежної безпеки.</w:t>
      </w:r>
    </w:p>
    <w:p w:rsidR="00513C94" w:rsidRDefault="002B4263" w:rsidP="007125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>Учасник повинен мати виробничі підрозділи (в</w:t>
      </w:r>
      <w:r w:rsidR="00EC4530">
        <w:rPr>
          <w:rFonts w:ascii="Times New Roman" w:hAnsi="Times New Roman" w:cs="Times New Roman"/>
          <w:sz w:val="24"/>
          <w:szCs w:val="24"/>
        </w:rPr>
        <w:t xml:space="preserve"> межах обслуговування об`єктів)</w:t>
      </w:r>
      <w:r w:rsidRPr="009C378F">
        <w:rPr>
          <w:rFonts w:ascii="Times New Roman" w:hAnsi="Times New Roman" w:cs="Times New Roman"/>
          <w:sz w:val="24"/>
          <w:szCs w:val="24"/>
        </w:rPr>
        <w:t xml:space="preserve">, у тому числі </w:t>
      </w:r>
      <w:r w:rsidR="00C1455B" w:rsidRPr="009C378F">
        <w:rPr>
          <w:rFonts w:ascii="Times New Roman" w:hAnsi="Times New Roman" w:cs="Times New Roman"/>
          <w:sz w:val="24"/>
          <w:szCs w:val="24"/>
        </w:rPr>
        <w:t xml:space="preserve">  кв</w:t>
      </w:r>
      <w:r w:rsidR="00A26AEB" w:rsidRPr="009C378F">
        <w:rPr>
          <w:rFonts w:ascii="Times New Roman" w:hAnsi="Times New Roman" w:cs="Times New Roman"/>
          <w:sz w:val="24"/>
          <w:szCs w:val="24"/>
        </w:rPr>
        <w:t>аліфікований персонал, необхідний</w:t>
      </w:r>
      <w:r w:rsidR="00C1455B" w:rsidRPr="009C378F">
        <w:rPr>
          <w:rFonts w:ascii="Times New Roman" w:hAnsi="Times New Roman" w:cs="Times New Roman"/>
          <w:sz w:val="24"/>
          <w:szCs w:val="24"/>
        </w:rPr>
        <w:t xml:space="preserve"> для оперативного реагування та належного </w:t>
      </w:r>
      <w:r w:rsidR="00FD4574" w:rsidRPr="009C378F">
        <w:rPr>
          <w:rFonts w:ascii="Times New Roman" w:hAnsi="Times New Roman" w:cs="Times New Roman"/>
          <w:sz w:val="24"/>
          <w:szCs w:val="24"/>
        </w:rPr>
        <w:t>технічного обслуговування, ремонту газових  мереж, споруд на них, та об`єктів газопостачання</w:t>
      </w:r>
      <w:r w:rsidR="00EC4530">
        <w:rPr>
          <w:rFonts w:ascii="Times New Roman" w:hAnsi="Times New Roman" w:cs="Times New Roman"/>
          <w:sz w:val="24"/>
          <w:szCs w:val="24"/>
        </w:rPr>
        <w:t>, про що учасник надає гарантійний лист або довідку.</w:t>
      </w:r>
    </w:p>
    <w:p w:rsidR="00EC4530" w:rsidRDefault="00EC4530" w:rsidP="00EC45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4530" w:rsidRDefault="00EC4530" w:rsidP="00EC45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30">
        <w:rPr>
          <w:rFonts w:ascii="Times New Roman" w:hAnsi="Times New Roman" w:cs="Times New Roman"/>
          <w:b/>
          <w:sz w:val="24"/>
          <w:szCs w:val="24"/>
        </w:rPr>
        <w:t>Перелік послуг та кількість</w:t>
      </w:r>
    </w:p>
    <w:p w:rsidR="00EC4530" w:rsidRPr="00EC4530" w:rsidRDefault="00EC4530" w:rsidP="00EC45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4253"/>
        <w:gridCol w:w="1559"/>
        <w:gridCol w:w="1701"/>
        <w:gridCol w:w="1984"/>
      </w:tblGrid>
      <w:tr w:rsidR="00513C94" w:rsidRPr="00513C94" w:rsidTr="006F06F4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робіт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одиниці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6F06F4" w:rsidP="006F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крат.обслуг</w:t>
            </w:r>
            <w:proofErr w:type="spellEnd"/>
          </w:p>
        </w:tc>
      </w:tr>
      <w:tr w:rsidR="00513C94" w:rsidRPr="00513C94" w:rsidTr="006F06F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513C94" w:rsidRPr="00513C94" w:rsidTr="00EE355C"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EE3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513C94" w:rsidRPr="00513C94" w:rsidTr="006F0EBC">
        <w:trPr>
          <w:trHeight w:val="9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Огляд технічного стану шляхом обходу, технічне обслуговування (надземний г/п та дворові вводи, 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13C94" w:rsidRPr="00513C94" w:rsidTr="006F06F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20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в місяць</w:t>
            </w:r>
          </w:p>
        </w:tc>
      </w:tr>
      <w:tr w:rsidR="00513C94" w:rsidRPr="00513C94" w:rsidTr="006F06F4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21-51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C94" w:rsidRPr="00513C94" w:rsidRDefault="00EE355C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в місяць</w:t>
            </w:r>
          </w:p>
        </w:tc>
      </w:tr>
      <w:tr w:rsidR="00513C94" w:rsidRPr="00513C94" w:rsidTr="006F06F4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51-100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в місяць</w:t>
            </w:r>
          </w:p>
        </w:tc>
      </w:tr>
      <w:tr w:rsidR="00513C94" w:rsidRPr="00513C94" w:rsidTr="006F0EBC">
        <w:trPr>
          <w:trHeight w:val="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на щільність за допомогою газу під робочим тиском-приладовим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100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EE355C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на рік</w:t>
            </w:r>
          </w:p>
        </w:tc>
      </w:tr>
      <w:tr w:rsidR="00513C94" w:rsidRPr="00513C94" w:rsidTr="006F06F4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 робіт по визначенню адгезії захисного лакофарбового покриття г/п-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ножем</w:t>
            </w:r>
            <w:proofErr w:type="spellEnd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/решіткою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100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EE355C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на рік</w:t>
            </w:r>
          </w:p>
        </w:tc>
      </w:tr>
      <w:tr w:rsidR="00513C94" w:rsidRPr="00513C94" w:rsidTr="006F0EBC">
        <w:trPr>
          <w:trHeight w:val="8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Технічне обслуговування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відключаючих</w:t>
            </w:r>
            <w:proofErr w:type="spellEnd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/запірних пристроїв на вводах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13C94" w:rsidRPr="00513C94" w:rsidTr="006F06F4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100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EE355C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рази в рік</w:t>
            </w:r>
          </w:p>
        </w:tc>
      </w:tr>
      <w:tr w:rsidR="00513C94" w:rsidRPr="00513C94" w:rsidTr="006F06F4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більше 100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рази в рік</w:t>
            </w:r>
          </w:p>
        </w:tc>
      </w:tr>
      <w:tr w:rsidR="00513C94" w:rsidRPr="00513C94" w:rsidTr="006F06F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Технічне обслуговування КБРТ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на рік</w:t>
            </w:r>
          </w:p>
        </w:tc>
      </w:tr>
      <w:tr w:rsidR="00513C94" w:rsidRPr="00513C94" w:rsidTr="006F0EBC">
        <w:trPr>
          <w:trHeight w:val="4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Огляд технічного стану КБРТ шляхом обходу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в місяць</w:t>
            </w:r>
          </w:p>
        </w:tc>
      </w:tr>
      <w:tr w:rsidR="00513C94" w:rsidRPr="00513C94" w:rsidTr="006F0EBC">
        <w:trPr>
          <w:trHeight w:val="4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Огляд технічного стану ШРП шляхом обходу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 лінія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редук</w:t>
            </w:r>
            <w:proofErr w:type="spellEnd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13C94" w:rsidRPr="00513C94" w:rsidTr="006F06F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Технічне обслуговування ШРП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13C94" w:rsidRPr="00513C94" w:rsidTr="006F0EBC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справності електроізолюючого фланця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на рік</w:t>
            </w:r>
          </w:p>
        </w:tc>
      </w:tr>
      <w:tr w:rsidR="00513C94" w:rsidRPr="00513C94" w:rsidTr="006F0EBC">
        <w:trPr>
          <w:trHeight w:val="55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спрацювання сигналізаторів загазованості/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відсікаючих</w:t>
            </w:r>
            <w:proofErr w:type="spellEnd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клапанів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EE355C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рази в рік</w:t>
            </w:r>
          </w:p>
        </w:tc>
      </w:tr>
      <w:tr w:rsidR="00513C94" w:rsidRPr="00513C94" w:rsidTr="006F06F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Відключення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теплогенераторної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EE355C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в рік</w:t>
            </w:r>
          </w:p>
        </w:tc>
      </w:tr>
      <w:tr w:rsidR="00513C94" w:rsidRPr="00513C94" w:rsidTr="006F06F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Пуск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теплогенераторної</w:t>
            </w:r>
            <w:proofErr w:type="spellEnd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(котельні)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EE355C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раз в рік</w:t>
            </w:r>
          </w:p>
        </w:tc>
      </w:tr>
      <w:tr w:rsidR="00513C94" w:rsidRPr="00513C94" w:rsidTr="006F0EBC">
        <w:trPr>
          <w:trHeight w:val="72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на щільність за допомогою газу під робочим тиском-приладовим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13C94" w:rsidRPr="00513C94" w:rsidTr="006F06F4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50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г/п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EE355C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в квартал</w:t>
            </w:r>
          </w:p>
        </w:tc>
      </w:tr>
      <w:tr w:rsidR="00513C94" w:rsidRPr="00513C94" w:rsidTr="006F06F4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більше 50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г/п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в квартал</w:t>
            </w:r>
          </w:p>
        </w:tc>
      </w:tr>
      <w:tr w:rsidR="00513C94" w:rsidRPr="00513C94" w:rsidTr="006F0EBC">
        <w:trPr>
          <w:trHeight w:val="214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Технічне обслуговування г/п з перевіркою наявності та герметичності футлярів в місцях прокладання через зовнішні і внутрішні конструкції будинку, наявності вільного доступу до газопроводів та газового обладнання, перевіркою стану пофарбування і кріплень газопроводу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EE355C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в квартал</w:t>
            </w:r>
          </w:p>
        </w:tc>
      </w:tr>
      <w:tr w:rsidR="00513C94" w:rsidRPr="00513C94" w:rsidTr="006F0EBC">
        <w:trPr>
          <w:trHeight w:val="494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Технічне обслуговування запірних пристроїв внутрішніх мереж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EE355C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в квартал</w:t>
            </w:r>
          </w:p>
        </w:tc>
      </w:tr>
      <w:tr w:rsidR="00513C94" w:rsidRPr="00513C94" w:rsidTr="006F0EBC">
        <w:trPr>
          <w:trHeight w:val="4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Випробування на щільність газових мереж тиском повітря  (500мм в ст.)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13C94" w:rsidRPr="00513C94" w:rsidTr="006F06F4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відрізок до 50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г/п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EE355C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в рік</w:t>
            </w:r>
          </w:p>
        </w:tc>
      </w:tr>
      <w:tr w:rsidR="00513C94" w:rsidRPr="00513C94" w:rsidTr="006F06F4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більше 50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г/п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в рік</w:t>
            </w:r>
          </w:p>
        </w:tc>
      </w:tr>
      <w:tr w:rsidR="00513C94" w:rsidRPr="00513C94" w:rsidTr="006F0EBC">
        <w:trPr>
          <w:trHeight w:val="77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Передпускова підготовка газифікованої </w:t>
            </w: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теплогенераторної</w:t>
            </w:r>
            <w:proofErr w:type="spellEnd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(котельні) з пуском з одним котлом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EE355C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в рік</w:t>
            </w:r>
          </w:p>
        </w:tc>
      </w:tr>
      <w:tr w:rsidR="00513C94" w:rsidRPr="00513C94" w:rsidTr="006F06F4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 само на кожний наступний котел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C94" w:rsidRPr="00513C94" w:rsidRDefault="00513C94" w:rsidP="0051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EE355C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C94" w:rsidRPr="00513C94" w:rsidRDefault="00513C94" w:rsidP="005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в рік</w:t>
            </w:r>
          </w:p>
        </w:tc>
      </w:tr>
    </w:tbl>
    <w:p w:rsidR="006F0EBC" w:rsidRDefault="006F0EBC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4530" w:rsidRDefault="00EC4530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4530" w:rsidRDefault="00EC4530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4530" w:rsidRDefault="00EC4530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6C7" w:rsidRPr="009C378F" w:rsidRDefault="00BA7C7F" w:rsidP="00471C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b/>
          <w:sz w:val="24"/>
          <w:szCs w:val="24"/>
        </w:rPr>
        <w:lastRenderedPageBreak/>
        <w:t>Місця надання послуг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678"/>
      </w:tblGrid>
      <w:tr w:rsidR="009D56C7" w:rsidRPr="009C378F" w:rsidTr="00BA7C7F">
        <w:tc>
          <w:tcPr>
            <w:tcW w:w="704" w:type="dxa"/>
            <w:vAlign w:val="center"/>
          </w:tcPr>
          <w:p w:rsidR="009D56C7" w:rsidRPr="009C378F" w:rsidRDefault="009D56C7" w:rsidP="007125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D56C7" w:rsidRPr="009C378F" w:rsidRDefault="009D56C7" w:rsidP="007125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56C7" w:rsidRPr="009C378F" w:rsidRDefault="00961C5F" w:rsidP="0071258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закладу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56C7" w:rsidRPr="009C378F" w:rsidRDefault="009D56C7" w:rsidP="0071258C">
            <w:pPr>
              <w:ind w:firstLine="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</w:t>
            </w:r>
          </w:p>
          <w:p w:rsidR="009D56C7" w:rsidRPr="009C378F" w:rsidRDefault="009D56C7" w:rsidP="00961C5F">
            <w:pPr>
              <w:ind w:firstLine="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(адреса)</w:t>
            </w:r>
          </w:p>
        </w:tc>
      </w:tr>
      <w:tr w:rsidR="001D0D64" w:rsidRPr="009C378F" w:rsidTr="00CA4C86">
        <w:tc>
          <w:tcPr>
            <w:tcW w:w="704" w:type="dxa"/>
            <w:vAlign w:val="center"/>
            <w:hideMark/>
          </w:tcPr>
          <w:p w:rsidR="001D0D64" w:rsidRPr="009C378F" w:rsidRDefault="001D0D64" w:rsidP="007125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Городоцький</w:t>
            </w:r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 №1 кот.1,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 Городок, вул. Шевченка, 17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Городоцький</w:t>
            </w:r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ліцей №1 кот.2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 Городок, вул. Грушевського, 92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CA04A5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Опорний заклад </w:t>
            </w:r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Городоцький</w:t>
            </w:r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 №2,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 Городок, вул. Бухти</w:t>
            </w:r>
            <w:r w:rsid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А.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9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Городоцький</w:t>
            </w:r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 №3,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 Городок, вул. Київська, 13</w:t>
            </w:r>
            <w:r w:rsid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А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EE355C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Опорний заклад </w:t>
            </w:r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Городоцький</w:t>
            </w:r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ліцей №4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м. Городок, вул. Київська, 20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Городоцька початкова школа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 Городок, вул. Шевченка, 38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CA04A5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Опорний заклад </w:t>
            </w:r>
            <w:proofErr w:type="spellStart"/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Великолевадський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ліцей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с. Велика Левада, вул. Глібова, 14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Великояромирський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ліцей,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Велика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Яромирка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вул.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Чорновола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7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46F40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Кузьминський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ліцей,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BB1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Кузьмин, </w:t>
            </w:r>
            <w:r w:rsid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площа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Шевченка, 4</w:t>
            </w:r>
          </w:p>
        </w:tc>
      </w:tr>
      <w:tr w:rsidR="001D0D64" w:rsidRPr="009C378F" w:rsidTr="00105490">
        <w:trPr>
          <w:trHeight w:val="2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46F40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1D0D64" w:rsidRPr="009C378F" w:rsidRDefault="00CA04A5" w:rsidP="00105490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Пільноолексинецька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філія опорного закладу Городоцький</w:t>
            </w:r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ліцей №2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BB1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ПільнийОлексинець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вул. Центральна, </w:t>
            </w:r>
            <w:r w:rsid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0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14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Чорниводський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 кот.1,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BB10E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Чорниводи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Ш</w:t>
            </w:r>
            <w:r w:rsid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кільна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  <w:r w:rsid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14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14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Чорниводський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ліцей кот.2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BB10EC" w:rsidRP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="00BB10EC" w:rsidRP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Чорниводи</w:t>
            </w:r>
            <w:proofErr w:type="spellEnd"/>
            <w:r w:rsidR="00BB10EC" w:rsidRP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Шкільна, 14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EC" w:rsidRPr="009C378F" w:rsidRDefault="00BB10EC" w:rsidP="0014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BB10EC" w:rsidP="00B23E2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Скіпченська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гімназія,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B23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Скіпче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Грушевського, 154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EC" w:rsidRPr="009C378F" w:rsidRDefault="00BB10EC" w:rsidP="0014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BB10EC" w:rsidP="00B23E2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Підлісноолексинецьк</w:t>
            </w:r>
            <w:r w:rsidR="00EE355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гімназія,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B23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ідліснийОлексинець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Шкільна, 9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EE355C" w:rsidP="00B23E2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Опорний заклад </w:t>
            </w:r>
            <w:proofErr w:type="spellStart"/>
            <w:r w:rsidR="00BB10EC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Лісоводський</w:t>
            </w:r>
            <w:proofErr w:type="spellEnd"/>
            <w:r w:rsid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BB10EC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 кот.1,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BB1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Лісоводи, вул. Перемоги,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EE355C" w:rsidP="00B23E2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Опорний заклад </w:t>
            </w:r>
            <w:proofErr w:type="spellStart"/>
            <w:r w:rsidR="00BB10EC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Лісоводський</w:t>
            </w:r>
            <w:proofErr w:type="spellEnd"/>
            <w:r w:rsid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BB10EC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 кот.2,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BB1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Лісоводи, вул. </w:t>
            </w:r>
            <w:proofErr w:type="spellStart"/>
            <w:r w:rsidRP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Сугерова</w:t>
            </w:r>
            <w:proofErr w:type="spellEnd"/>
            <w:r w:rsidRP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BB10E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2 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7125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BB10EC" w:rsidP="00EE355C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Кремінянська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EE355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філія Опорного закладу </w:t>
            </w:r>
            <w:proofErr w:type="spellStart"/>
            <w:r w:rsidR="00EE355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Лісоводський</w:t>
            </w:r>
            <w:proofErr w:type="spellEnd"/>
            <w:r w:rsidR="00EE355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ліцей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B23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Кремінна,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вул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. Грушевського,30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BB10EC" w:rsidP="00B23E2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Бедриковецька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філія опорного закладу Городоцький ліцей №2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B23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Бедриківці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Шкільна,18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BB10EC" w:rsidP="00B23E2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Городоцький ЗДО «Казка»,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BB1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м. Городок, 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Виноградського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С.,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-А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BB10EC" w:rsidP="00B23E2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Городоцький ЗДО «Берізка»,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B23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м. Городок,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вул.Ван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аг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ксьондза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,12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BB10EC" w:rsidP="00B23E2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Лісоводський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ЗДО «Сонечко»,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B23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Лісоводи, вул.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Перемоги, 6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BB10EC" w:rsidP="00B23E2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Кремінянський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ЗДО «Сонечко»,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BB1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Кремінна,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пров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. Соборн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ий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1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BB10EC" w:rsidP="00B23E2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Пільноолексинецький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ЗДО «Барвінок»,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B23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ПільнийОлексинець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Зелена</w:t>
            </w:r>
            <w:r w:rsidR="006F0E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1а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BB10EC" w:rsidP="00B23E2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Сирватинецький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ЗДО «Сонечко»,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6F0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Сирватинці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вул.</w:t>
            </w:r>
            <w:r w:rsidR="006F0E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Подільська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="006F0E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BB10EC" w:rsidP="00B23E2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Великокарабчіївський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ЗДО «Берізка»,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B23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Великий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Карабчіїв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Київська, 1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CC0EB9" w:rsidRDefault="00BB10EC" w:rsidP="00B23E2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Купинський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ЗДО «Водограй»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6F0EB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Купин, </w:t>
            </w:r>
            <w:r w:rsidR="006F0E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вул. </w:t>
            </w:r>
            <w:proofErr w:type="spellStart"/>
            <w:r w:rsidR="006F0E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Чорновола</w:t>
            </w:r>
            <w:proofErr w:type="spellEnd"/>
            <w:r w:rsidR="006F0E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В, 2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52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6F0EBC" w:rsidP="00961C5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Приміщення (бувша</w:t>
            </w:r>
            <w:r w:rsidRPr="006F0EBC">
              <w:rPr>
                <w:lang w:val="uk-UA"/>
              </w:rPr>
              <w:t xml:space="preserve"> </w:t>
            </w:r>
            <w:proofErr w:type="spellStart"/>
            <w:r w:rsidRPr="006F0E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Лісогірська</w:t>
            </w:r>
            <w:proofErr w:type="spellEnd"/>
            <w:r w:rsidRPr="006F0E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гімназія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) </w:t>
            </w:r>
            <w:r w:rsidRPr="006F0E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кот.1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6F0EBC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E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0E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Лісогірка</w:t>
            </w:r>
            <w:proofErr w:type="spellEnd"/>
            <w:r w:rsidRPr="006F0E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F0E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6F0E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Шкільний,7</w:t>
            </w:r>
          </w:p>
        </w:tc>
      </w:tr>
      <w:tr w:rsidR="00BB10EC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BB10EC" w:rsidP="0052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0EC" w:rsidRPr="009C378F" w:rsidRDefault="006F0EBC" w:rsidP="006F0EBC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6F0E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Приміщення (бувша </w:t>
            </w:r>
            <w:proofErr w:type="spellStart"/>
            <w:r w:rsidRPr="006F0E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Лісогірська</w:t>
            </w:r>
            <w:proofErr w:type="spellEnd"/>
            <w:r w:rsidRPr="006F0E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гімназія)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6F0E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кот.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EC" w:rsidRPr="009C378F" w:rsidRDefault="006F0EBC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E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0E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Лісогірка</w:t>
            </w:r>
            <w:proofErr w:type="spellEnd"/>
            <w:r w:rsidRPr="006F0E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F0E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6F0E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Шкільний,7</w:t>
            </w:r>
          </w:p>
        </w:tc>
      </w:tr>
    </w:tbl>
    <w:p w:rsidR="009D56C7" w:rsidRPr="009C378F" w:rsidRDefault="009D56C7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D56C7" w:rsidRPr="009C378F" w:rsidSect="00CE2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D6102"/>
    <w:multiLevelType w:val="hybridMultilevel"/>
    <w:tmpl w:val="4366F2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84"/>
    <w:rsid w:val="000A1947"/>
    <w:rsid w:val="00105490"/>
    <w:rsid w:val="00146F40"/>
    <w:rsid w:val="00147976"/>
    <w:rsid w:val="001767CC"/>
    <w:rsid w:val="001D0D64"/>
    <w:rsid w:val="0025389F"/>
    <w:rsid w:val="002737CA"/>
    <w:rsid w:val="002B4263"/>
    <w:rsid w:val="00315BE1"/>
    <w:rsid w:val="00393AA1"/>
    <w:rsid w:val="003B3584"/>
    <w:rsid w:val="00471C05"/>
    <w:rsid w:val="004D65BB"/>
    <w:rsid w:val="00513C94"/>
    <w:rsid w:val="0052096C"/>
    <w:rsid w:val="005E0792"/>
    <w:rsid w:val="006E449F"/>
    <w:rsid w:val="006F06F4"/>
    <w:rsid w:val="006F0EBC"/>
    <w:rsid w:val="0071258C"/>
    <w:rsid w:val="007A103C"/>
    <w:rsid w:val="00961C5F"/>
    <w:rsid w:val="009C378F"/>
    <w:rsid w:val="009D56C7"/>
    <w:rsid w:val="009E155C"/>
    <w:rsid w:val="00A26AEB"/>
    <w:rsid w:val="00A30F95"/>
    <w:rsid w:val="00A3267E"/>
    <w:rsid w:val="00B80F32"/>
    <w:rsid w:val="00BA7C7F"/>
    <w:rsid w:val="00BB10EC"/>
    <w:rsid w:val="00C1455B"/>
    <w:rsid w:val="00C63136"/>
    <w:rsid w:val="00C731CB"/>
    <w:rsid w:val="00CA04A5"/>
    <w:rsid w:val="00CA6822"/>
    <w:rsid w:val="00CC0EB9"/>
    <w:rsid w:val="00CE222F"/>
    <w:rsid w:val="00CF776E"/>
    <w:rsid w:val="00D073AD"/>
    <w:rsid w:val="00D41AB2"/>
    <w:rsid w:val="00D91DCC"/>
    <w:rsid w:val="00DF4939"/>
    <w:rsid w:val="00E34C3D"/>
    <w:rsid w:val="00E63FB7"/>
    <w:rsid w:val="00E954F4"/>
    <w:rsid w:val="00EC4530"/>
    <w:rsid w:val="00EE355C"/>
    <w:rsid w:val="00EE454A"/>
    <w:rsid w:val="00F45E0D"/>
    <w:rsid w:val="00F62A3D"/>
    <w:rsid w:val="00F80CD0"/>
    <w:rsid w:val="00FD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AEB"/>
    <w:rPr>
      <w:color w:val="0563C1" w:themeColor="hyperlink"/>
      <w:u w:val="single"/>
    </w:rPr>
  </w:style>
  <w:style w:type="table" w:customStyle="1" w:styleId="1">
    <w:name w:val="Сітка таблиці1"/>
    <w:basedOn w:val="a1"/>
    <w:next w:val="a5"/>
    <w:uiPriority w:val="59"/>
    <w:rsid w:val="009D56C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D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AEB"/>
    <w:rPr>
      <w:color w:val="0563C1" w:themeColor="hyperlink"/>
      <w:u w:val="single"/>
    </w:rPr>
  </w:style>
  <w:style w:type="table" w:customStyle="1" w:styleId="1">
    <w:name w:val="Сітка таблиці1"/>
    <w:basedOn w:val="a1"/>
    <w:next w:val="a5"/>
    <w:uiPriority w:val="59"/>
    <w:rsid w:val="009D56C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D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04FC-8A5A-4A5F-8CAB-748DEDC7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4185</Words>
  <Characters>2387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Спецбух</dc:creator>
  <cp:lastModifiedBy>Пользователь Windows</cp:lastModifiedBy>
  <cp:revision>11</cp:revision>
  <cp:lastPrinted>2022-06-21T05:41:00Z</cp:lastPrinted>
  <dcterms:created xsi:type="dcterms:W3CDTF">2022-06-20T12:59:00Z</dcterms:created>
  <dcterms:modified xsi:type="dcterms:W3CDTF">2023-12-27T15:27:00Z</dcterms:modified>
</cp:coreProperties>
</file>