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E" w:rsidRDefault="00E3764C">
      <w:pPr>
        <w:spacing w:before="64" w:line="274" w:lineRule="exact"/>
        <w:ind w:left="5947"/>
        <w:jc w:val="both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1"/>
          <w:sz w:val="24"/>
        </w:rPr>
        <w:t xml:space="preserve"> </w:t>
      </w:r>
      <w:r w:rsidR="00580D8E">
        <w:rPr>
          <w:b/>
          <w:sz w:val="24"/>
        </w:rPr>
        <w:t>1</w:t>
      </w:r>
    </w:p>
    <w:p w:rsidR="008E63FE" w:rsidRDefault="00E3764C">
      <w:pPr>
        <w:ind w:left="5947" w:right="720"/>
        <w:jc w:val="both"/>
        <w:rPr>
          <w:i/>
          <w:sz w:val="18"/>
        </w:rPr>
      </w:pPr>
      <w:r>
        <w:rPr>
          <w:i/>
          <w:sz w:val="18"/>
        </w:rPr>
        <w:t>до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тендерної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документації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Природний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газ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ДК</w:t>
      </w:r>
      <w:proofErr w:type="spell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021:2015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«Єдиний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закупівельний словник» – 09120000-6 – Газове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паливо)</w:t>
      </w:r>
    </w:p>
    <w:p w:rsidR="008E63FE" w:rsidRDefault="008E63FE">
      <w:pPr>
        <w:pStyle w:val="a3"/>
        <w:spacing w:before="7"/>
        <w:rPr>
          <w:i/>
          <w:sz w:val="16"/>
        </w:rPr>
      </w:pPr>
    </w:p>
    <w:p w:rsidR="008E63FE" w:rsidRDefault="00E3764C">
      <w:pPr>
        <w:pStyle w:val="Heading1"/>
        <w:spacing w:before="90" w:line="244" w:lineRule="auto"/>
        <w:rPr>
          <w:u w:val="none"/>
        </w:rPr>
      </w:pPr>
      <w:bookmarkStart w:id="0" w:name="Вимоги_визначені_пунктом_47_Особливостей"/>
      <w:bookmarkEnd w:id="0"/>
      <w:r>
        <w:rPr>
          <w:u w:val="thick"/>
        </w:rPr>
        <w:t>Вимоги визначені пунктом 47 Особливостей та інформація про спосіб підтвердження</w:t>
      </w:r>
      <w:r>
        <w:rPr>
          <w:spacing w:val="1"/>
          <w:u w:val="none"/>
        </w:rPr>
        <w:t xml:space="preserve"> </w:t>
      </w:r>
      <w:r>
        <w:rPr>
          <w:u w:val="thick"/>
        </w:rPr>
        <w:t>відповідності</w:t>
      </w:r>
      <w:r>
        <w:rPr>
          <w:spacing w:val="1"/>
          <w:u w:val="thick"/>
        </w:rPr>
        <w:t xml:space="preserve"> </w:t>
      </w:r>
      <w:r>
        <w:rPr>
          <w:u w:val="thick"/>
        </w:rPr>
        <w:t>учасників</w:t>
      </w:r>
      <w:r>
        <w:rPr>
          <w:spacing w:val="-1"/>
          <w:u w:val="thick"/>
        </w:rPr>
        <w:t xml:space="preserve"> </w:t>
      </w:r>
      <w:r>
        <w:rPr>
          <w:u w:val="thick"/>
        </w:rPr>
        <w:t>(переможця)</w:t>
      </w:r>
      <w:r>
        <w:rPr>
          <w:spacing w:val="-2"/>
          <w:u w:val="thick"/>
        </w:rPr>
        <w:t xml:space="preserve"> </w:t>
      </w:r>
      <w:r>
        <w:rPr>
          <w:u w:val="thick"/>
        </w:rPr>
        <w:t>вимогам</w:t>
      </w:r>
      <w:r>
        <w:rPr>
          <w:spacing w:val="-1"/>
          <w:u w:val="thick"/>
        </w:rPr>
        <w:t xml:space="preserve"> </w:t>
      </w:r>
      <w:r>
        <w:rPr>
          <w:u w:val="thick"/>
        </w:rPr>
        <w:t>згідно</w:t>
      </w:r>
      <w:r>
        <w:rPr>
          <w:spacing w:val="-1"/>
          <w:u w:val="thick"/>
        </w:rPr>
        <w:t xml:space="preserve"> </w:t>
      </w:r>
      <w:r>
        <w:rPr>
          <w:u w:val="thick"/>
        </w:rPr>
        <w:t>із</w:t>
      </w:r>
      <w:r>
        <w:rPr>
          <w:spacing w:val="-1"/>
          <w:u w:val="thick"/>
        </w:rPr>
        <w:t xml:space="preserve"> </w:t>
      </w:r>
      <w:r>
        <w:rPr>
          <w:u w:val="thick"/>
        </w:rPr>
        <w:t>законодавством</w:t>
      </w:r>
    </w:p>
    <w:p w:rsidR="008E63FE" w:rsidRDefault="008E63FE">
      <w:pPr>
        <w:pStyle w:val="a3"/>
        <w:spacing w:before="5"/>
        <w:rPr>
          <w:b/>
          <w:sz w:val="15"/>
        </w:rPr>
      </w:pPr>
    </w:p>
    <w:p w:rsidR="008E63FE" w:rsidRDefault="00E3764C" w:rsidP="00F479DC">
      <w:pPr>
        <w:pStyle w:val="Heading2"/>
        <w:rPr>
          <w:sz w:val="24"/>
        </w:rPr>
      </w:pPr>
      <w:r>
        <w:t>Для</w:t>
      </w:r>
      <w:r>
        <w:rPr>
          <w:spacing w:val="8"/>
        </w:rPr>
        <w:t xml:space="preserve"> </w:t>
      </w:r>
      <w:r>
        <w:t>юридичних</w:t>
      </w:r>
      <w:r>
        <w:rPr>
          <w:spacing w:val="5"/>
        </w:rPr>
        <w:t xml:space="preserve"> </w:t>
      </w:r>
      <w:r>
        <w:t>осіб,</w:t>
      </w:r>
      <w:r>
        <w:rPr>
          <w:spacing w:val="7"/>
        </w:rPr>
        <w:t xml:space="preserve"> </w:t>
      </w:r>
      <w:r>
        <w:t>фізичних</w:t>
      </w:r>
      <w:r>
        <w:rPr>
          <w:spacing w:val="5"/>
        </w:rPr>
        <w:t xml:space="preserve"> </w:t>
      </w:r>
      <w:r>
        <w:t>осіб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фізичних</w:t>
      </w:r>
      <w:r>
        <w:rPr>
          <w:spacing w:val="5"/>
        </w:rPr>
        <w:t xml:space="preserve"> </w:t>
      </w:r>
      <w:r>
        <w:t>осіб-підприємців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підтвердження</w:t>
      </w:r>
      <w:r>
        <w:rPr>
          <w:spacing w:val="-52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 w:rsidR="00F479DC" w:rsidRPr="00F13467">
        <w:t>учасника</w:t>
      </w:r>
      <w:r>
        <w:rPr>
          <w:spacing w:val="-5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закупівлі</w:t>
      </w:r>
      <w:r>
        <w:rPr>
          <w:spacing w:val="-2"/>
        </w:rPr>
        <w:t xml:space="preserve"> </w:t>
      </w:r>
      <w:r>
        <w:t>вимогам,</w:t>
      </w:r>
      <w:r>
        <w:rPr>
          <w:spacing w:val="-3"/>
        </w:rPr>
        <w:t xml:space="preserve"> </w:t>
      </w:r>
      <w:r>
        <w:t>встановленим</w:t>
      </w:r>
      <w:r>
        <w:rPr>
          <w:spacing w:val="-2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Особливостей:</w:t>
      </w:r>
    </w:p>
    <w:p w:rsidR="008E63FE" w:rsidRDefault="008E63FE" w:rsidP="00F479DC">
      <w:pPr>
        <w:pStyle w:val="Heading2"/>
        <w:rPr>
          <w:sz w:val="20"/>
        </w:rPr>
      </w:pPr>
    </w:p>
    <w:p w:rsidR="008E63FE" w:rsidRDefault="00E3764C">
      <w:pPr>
        <w:pStyle w:val="a3"/>
        <w:spacing w:before="1"/>
        <w:ind w:left="316" w:right="242"/>
        <w:jc w:val="both"/>
      </w:pPr>
      <w:r>
        <w:t>Учасник процедури закупівлі підтверджує відсутність підстав, зазначених в пункті 47 Особливостей</w:t>
      </w:r>
      <w:r>
        <w:rPr>
          <w:spacing w:val="1"/>
        </w:rPr>
        <w:t xml:space="preserve"> </w:t>
      </w:r>
      <w:r>
        <w:t>(крім підпунктів 1 і 7, абзацу чотирнадцятого цього пункту), шляхом самостійного 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підстав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1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подання</w:t>
      </w:r>
      <w:r>
        <w:rPr>
          <w:spacing w:val="-3"/>
        </w:rPr>
        <w:t xml:space="preserve"> </w:t>
      </w:r>
      <w:r>
        <w:t>тендерної пропозиції.</w:t>
      </w:r>
    </w:p>
    <w:p w:rsidR="008E63FE" w:rsidRDefault="00E3764C">
      <w:pPr>
        <w:pStyle w:val="a3"/>
        <w:spacing w:before="0"/>
        <w:ind w:left="316" w:right="244"/>
        <w:jc w:val="both"/>
      </w:pPr>
      <w:r>
        <w:t>Замовник самостійно за результатами розгляду тендерної пропозиції учасника процедури закупівлі</w:t>
      </w:r>
      <w:r>
        <w:rPr>
          <w:spacing w:val="1"/>
        </w:rPr>
        <w:t xml:space="preserve"> </w:t>
      </w:r>
      <w:r>
        <w:t>підтверджує в електронній системі закупівель відсутність в учасника процедури закупівлі підстав,</w:t>
      </w:r>
      <w:r>
        <w:rPr>
          <w:spacing w:val="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підпунктами</w:t>
      </w:r>
      <w:r>
        <w:rPr>
          <w:spacing w:val="-4"/>
        </w:rPr>
        <w:t xml:space="preserve"> </w:t>
      </w:r>
      <w:r>
        <w:t>1 і</w:t>
      </w:r>
      <w:r>
        <w:rPr>
          <w:spacing w:val="1"/>
        </w:rPr>
        <w:t xml:space="preserve"> </w:t>
      </w:r>
      <w:r>
        <w:t>7 пункту</w:t>
      </w:r>
      <w:r>
        <w:rPr>
          <w:spacing w:val="-4"/>
        </w:rPr>
        <w:t xml:space="preserve"> </w:t>
      </w:r>
      <w:r>
        <w:t>47 Особливостей.</w:t>
      </w:r>
    </w:p>
    <w:p w:rsidR="008E63FE" w:rsidRDefault="00E3764C">
      <w:pPr>
        <w:pStyle w:val="a3"/>
        <w:spacing w:before="0"/>
        <w:ind w:left="316" w:right="237"/>
        <w:jc w:val="both"/>
      </w:pPr>
      <w:r>
        <w:t>Учасник</w:t>
      </w:r>
      <w:r>
        <w:rPr>
          <w:spacing w:val="1"/>
        </w:rPr>
        <w:t xml:space="preserve"> </w:t>
      </w:r>
      <w:r>
        <w:t>повинен надати довідку у довільній формі щодо відсутності підстави для</w:t>
      </w:r>
      <w:r>
        <w:rPr>
          <w:spacing w:val="1"/>
        </w:rPr>
        <w:t xml:space="preserve"> </w:t>
      </w:r>
      <w:r>
        <w:t>відмови учаснику</w:t>
      </w:r>
      <w:r>
        <w:rPr>
          <w:spacing w:val="1"/>
        </w:rPr>
        <w:t xml:space="preserve"> </w:t>
      </w:r>
      <w:r>
        <w:t>процедури закупівлі в участі у відкритих торгах, встановленої в абзаці чотирнадцятого пункту 47</w:t>
      </w:r>
      <w:r>
        <w:rPr>
          <w:spacing w:val="1"/>
        </w:rPr>
        <w:t xml:space="preserve"> </w:t>
      </w:r>
      <w:r>
        <w:t>Особливостей. Учасник процедури закупівлі, що перебуває в обставинах, зазначених у цьому абзаці,</w:t>
      </w:r>
      <w:r>
        <w:rPr>
          <w:spacing w:val="1"/>
        </w:rPr>
        <w:t xml:space="preserve"> </w:t>
      </w:r>
      <w:r>
        <w:t>може надати підтвердження вжиття заходів для доведення своєї надійності, незважаючи на наявність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 повинен довести, що він сплатив або зобов’язався сплатити відповідні зобов’язання</w:t>
      </w:r>
      <w:r>
        <w:rPr>
          <w:spacing w:val="1"/>
        </w:rPr>
        <w:t xml:space="preserve"> </w:t>
      </w:r>
      <w:r>
        <w:t>та відшкодування завданих збитків. Якщо замовник вважає таке підтвердження достатнім, 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не 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 процедурі закупівлі.</w:t>
      </w:r>
    </w:p>
    <w:p w:rsidR="008E63FE" w:rsidRDefault="00E3764C">
      <w:pPr>
        <w:spacing w:before="209" w:line="207" w:lineRule="exact"/>
        <w:ind w:left="316"/>
        <w:rPr>
          <w:sz w:val="18"/>
        </w:rPr>
      </w:pPr>
      <w:r>
        <w:rPr>
          <w:sz w:val="18"/>
          <w:u w:val="single"/>
        </w:rPr>
        <w:t>Примітки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до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пп.1</w:t>
      </w:r>
      <w:r>
        <w:rPr>
          <w:sz w:val="18"/>
        </w:rPr>
        <w:t>:</w:t>
      </w:r>
    </w:p>
    <w:p w:rsidR="008E63FE" w:rsidRDefault="00E3764C">
      <w:pPr>
        <w:ind w:left="316" w:right="241" w:firstLine="254"/>
        <w:jc w:val="both"/>
        <w:rPr>
          <w:i/>
          <w:sz w:val="18"/>
        </w:rPr>
      </w:pPr>
      <w:r>
        <w:rPr>
          <w:i/>
          <w:sz w:val="18"/>
        </w:rPr>
        <w:t>У випадку якщо учасником процедури закупівлі є об’єднання учасників, то на кожного з учасників такого об’єднання,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надається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окрема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довідка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довільній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формі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підтвердження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відповідності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вимогам,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визначеним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пунктом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Особливостей.</w:t>
      </w:r>
    </w:p>
    <w:p w:rsidR="008E63FE" w:rsidRDefault="00E3764C">
      <w:pPr>
        <w:ind w:left="316" w:right="245" w:firstLine="254"/>
        <w:jc w:val="both"/>
        <w:rPr>
          <w:i/>
          <w:sz w:val="18"/>
        </w:rPr>
      </w:pPr>
      <w:r>
        <w:rPr>
          <w:i/>
          <w:sz w:val="18"/>
        </w:rPr>
        <w:t>Замовник не вимагає від учасника процедури закупівлі під час подання тендерної пропозиції в електронній системі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закупівель будь-яких документів, що підтверджують відсутність підстав, визначених у пункті 47 Особливостей (крім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абзацу чотирнадцятого цього пункту), крім самостійного декларування відсутності таких підстав учасником процедури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відповідно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абзацу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шістнадцятого пункту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Особливостей.</w:t>
      </w:r>
    </w:p>
    <w:p w:rsidR="008E63FE" w:rsidRDefault="008E63FE">
      <w:pPr>
        <w:pStyle w:val="a3"/>
        <w:spacing w:before="3"/>
        <w:rPr>
          <w:i/>
        </w:rPr>
      </w:pPr>
    </w:p>
    <w:p w:rsidR="008E63FE" w:rsidRDefault="00E3764C">
      <w:pPr>
        <w:pStyle w:val="Heading2"/>
        <w:numPr>
          <w:ilvl w:val="0"/>
          <w:numId w:val="1"/>
        </w:numPr>
        <w:tabs>
          <w:tab w:val="left" w:pos="648"/>
        </w:tabs>
        <w:ind w:firstLine="0"/>
      </w:pPr>
      <w:bookmarkStart w:id="1" w:name="2._Документи_на_підтвердження_відповідно"/>
      <w:bookmarkEnd w:id="1"/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 w:rsidRPr="00F13467">
        <w:t>переможця</w:t>
      </w:r>
      <w:r w:rsidRPr="00F13467"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вимогам,</w:t>
      </w:r>
      <w:r>
        <w:rPr>
          <w:spacing w:val="-52"/>
        </w:rPr>
        <w:t xml:space="preserve"> </w:t>
      </w:r>
      <w:r>
        <w:t>визначеним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пункті</w:t>
      </w:r>
      <w:r>
        <w:rPr>
          <w:spacing w:val="-9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Особливостей:</w:t>
      </w:r>
    </w:p>
    <w:p w:rsidR="008E63FE" w:rsidRDefault="008E63FE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0"/>
        <w:gridCol w:w="5500"/>
      </w:tblGrid>
      <w:tr w:rsidR="008E63FE">
        <w:trPr>
          <w:trHeight w:val="1841"/>
        </w:trPr>
        <w:tc>
          <w:tcPr>
            <w:tcW w:w="4290" w:type="dxa"/>
          </w:tcPr>
          <w:p w:rsidR="008E63FE" w:rsidRDefault="008E63FE">
            <w:pPr>
              <w:pStyle w:val="TableParagraph"/>
              <w:ind w:left="0"/>
              <w:jc w:val="left"/>
              <w:rPr>
                <w:b/>
              </w:rPr>
            </w:pPr>
          </w:p>
          <w:p w:rsidR="008E63FE" w:rsidRDefault="008E63FE">
            <w:pPr>
              <w:pStyle w:val="TableParagraph"/>
              <w:spacing w:before="5"/>
              <w:ind w:left="0"/>
              <w:jc w:val="left"/>
              <w:rPr>
                <w:b/>
                <w:sz w:val="18"/>
              </w:rPr>
            </w:pPr>
          </w:p>
          <w:p w:rsidR="008E63FE" w:rsidRDefault="00E3764C">
            <w:pPr>
              <w:pStyle w:val="TableParagraph"/>
              <w:spacing w:before="1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згідно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 Особливостей</w:t>
            </w:r>
          </w:p>
        </w:tc>
        <w:tc>
          <w:tcPr>
            <w:tcW w:w="5500" w:type="dxa"/>
          </w:tcPr>
          <w:p w:rsidR="008E63FE" w:rsidRDefault="00E3764C">
            <w:pPr>
              <w:pStyle w:val="TableParagraph"/>
              <w:spacing w:before="2"/>
              <w:ind w:left="450" w:righ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Переможець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закупівлі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строк,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перевищує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чотири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оприлюднення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8E63FE" w:rsidRDefault="00E3764C">
            <w:pPr>
              <w:pStyle w:val="TableParagraph"/>
              <w:ind w:left="40" w:right="25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електронній системі закупівель повідомлення про намір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укласти договір про закупівлю, повинен надати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замовнику шляхом оприлюднення в електронній системі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закупівель документи, що підтверджують відсутність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підстав,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зазначених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 підпунктах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та 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абзаці</w:t>
            </w:r>
          </w:p>
          <w:p w:rsidR="008E63FE" w:rsidRDefault="00E3764C">
            <w:pPr>
              <w:pStyle w:val="TableParagraph"/>
              <w:spacing w:line="210" w:lineRule="exact"/>
              <w:ind w:left="450" w:right="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чотирнадцятому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Особливостей:</w:t>
            </w:r>
          </w:p>
        </w:tc>
      </w:tr>
      <w:tr w:rsidR="008E63FE">
        <w:trPr>
          <w:trHeight w:val="2159"/>
        </w:trPr>
        <w:tc>
          <w:tcPr>
            <w:tcW w:w="4290" w:type="dxa"/>
          </w:tcPr>
          <w:p w:rsidR="008E63FE" w:rsidRDefault="00E3764C">
            <w:pPr>
              <w:pStyle w:val="TableParagraph"/>
              <w:spacing w:before="91"/>
              <w:ind w:right="225"/>
              <w:rPr>
                <w:sz w:val="20"/>
              </w:rPr>
            </w:pP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 особу, яка є учасником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було притягнуто згідно із законом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корупцією.</w:t>
            </w:r>
          </w:p>
          <w:p w:rsidR="008E63FE" w:rsidRDefault="00E3764C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 Особливостей)</w:t>
            </w:r>
          </w:p>
        </w:tc>
        <w:tc>
          <w:tcPr>
            <w:tcW w:w="5500" w:type="dxa"/>
          </w:tcPr>
          <w:p w:rsidR="008E63FE" w:rsidRDefault="00E3764C">
            <w:pPr>
              <w:pStyle w:val="TableParagraph"/>
              <w:spacing w:before="84"/>
              <w:ind w:left="105" w:right="84"/>
              <w:rPr>
                <w:sz w:val="20"/>
              </w:rPr>
            </w:pPr>
            <w:r>
              <w:rPr>
                <w:sz w:val="20"/>
              </w:rPr>
              <w:t>Інформаційна довідка з Єдиного державного реєстру осіб, які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вчинили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 згідно з якою не буде знайдено інформації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корупційні або пов'язані з корупцією 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 учасника процедури закупівлі. Довідка надається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період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функціональної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перевірки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інформації на </w:t>
            </w:r>
            <w:proofErr w:type="spellStart"/>
            <w:r>
              <w:rPr>
                <w:sz w:val="20"/>
              </w:rPr>
              <w:t>веб-ресурсі</w:t>
            </w:r>
            <w:proofErr w:type="spellEnd"/>
            <w:r>
              <w:rPr>
                <w:sz w:val="20"/>
              </w:rPr>
              <w:t xml:space="preserve"> Єдиного державного реєстру осіб,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вчинили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корупційні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корупцією</w:t>
            </w:r>
          </w:p>
          <w:p w:rsidR="008E63FE" w:rsidRDefault="00E3764C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правопорушення,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стосується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запитувача.</w:t>
            </w:r>
          </w:p>
        </w:tc>
      </w:tr>
      <w:tr w:rsidR="008E63FE">
        <w:trPr>
          <w:trHeight w:val="1944"/>
        </w:trPr>
        <w:tc>
          <w:tcPr>
            <w:tcW w:w="4290" w:type="dxa"/>
          </w:tcPr>
          <w:p w:rsidR="008E63FE" w:rsidRDefault="00E3764C">
            <w:pPr>
              <w:pStyle w:val="TableParagraph"/>
              <w:spacing w:before="91"/>
              <w:ind w:right="223"/>
              <w:rPr>
                <w:sz w:val="20"/>
              </w:rPr>
            </w:pPr>
            <w:r>
              <w:rPr>
                <w:sz w:val="20"/>
              </w:rPr>
              <w:t>Фізична особа, яка є учасником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 (зокрема, пов’язане з хабарництвом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відмиванням коштів), судимість з якої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порядку.</w:t>
            </w:r>
          </w:p>
          <w:p w:rsidR="008E63FE" w:rsidRDefault="00E3764C">
            <w:pPr>
              <w:pStyle w:val="TableParagraph"/>
              <w:spacing w:before="13"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 Особливостей)</w:t>
            </w:r>
          </w:p>
        </w:tc>
        <w:tc>
          <w:tcPr>
            <w:tcW w:w="5500" w:type="dxa"/>
          </w:tcPr>
          <w:p w:rsidR="008E63FE" w:rsidRDefault="00E3764C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Повний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паперовій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відсутність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кримінальним процесуальним законодавством України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 процедури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закупівлі.</w:t>
            </w:r>
          </w:p>
          <w:p w:rsidR="008E63FE" w:rsidRDefault="00E3764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більше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тридцяти денної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давнини</w:t>
            </w:r>
          </w:p>
        </w:tc>
      </w:tr>
    </w:tbl>
    <w:p w:rsidR="008E63FE" w:rsidRDefault="008E63FE">
      <w:pPr>
        <w:spacing w:line="229" w:lineRule="exact"/>
        <w:rPr>
          <w:sz w:val="20"/>
        </w:rPr>
        <w:sectPr w:rsidR="008E63FE">
          <w:type w:val="continuous"/>
          <w:pgSz w:w="11920" w:h="16850"/>
          <w:pgMar w:top="1040" w:right="600" w:bottom="0" w:left="1100" w:header="708" w:footer="708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0"/>
        <w:gridCol w:w="5500"/>
      </w:tblGrid>
      <w:tr w:rsidR="008E63FE">
        <w:trPr>
          <w:trHeight w:val="230"/>
        </w:trPr>
        <w:tc>
          <w:tcPr>
            <w:tcW w:w="4290" w:type="dxa"/>
          </w:tcPr>
          <w:p w:rsidR="008E63FE" w:rsidRDefault="008E63FE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5500" w:type="dxa"/>
          </w:tcPr>
          <w:p w:rsidR="008E63FE" w:rsidRDefault="00E3764C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8E63FE">
        <w:trPr>
          <w:trHeight w:val="2253"/>
        </w:trPr>
        <w:tc>
          <w:tcPr>
            <w:tcW w:w="4290" w:type="dxa"/>
          </w:tcPr>
          <w:p w:rsidR="008E63FE" w:rsidRDefault="00E3764C">
            <w:pPr>
              <w:pStyle w:val="TableParagraph"/>
              <w:tabs>
                <w:tab w:val="left" w:pos="2031"/>
                <w:tab w:val="left" w:pos="2122"/>
                <w:tab w:val="left" w:pos="2986"/>
                <w:tab w:val="left" w:pos="3876"/>
              </w:tabs>
              <w:spacing w:before="91"/>
              <w:ind w:right="223"/>
              <w:rPr>
                <w:sz w:val="20"/>
              </w:rPr>
            </w:pPr>
            <w:r>
              <w:rPr>
                <w:sz w:val="20"/>
              </w:rPr>
              <w:t>Керівник учасника процедури закупівлі був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засуджений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кримінальне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(зокрема,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хабарництвом,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шахрайством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відмиванням коштів), судимість з якого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порядку.</w:t>
            </w:r>
          </w:p>
          <w:p w:rsidR="008E63FE" w:rsidRDefault="00E3764C">
            <w:pPr>
              <w:pStyle w:val="TableParagraph"/>
              <w:spacing w:before="93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 Особливостей)</w:t>
            </w:r>
          </w:p>
        </w:tc>
        <w:tc>
          <w:tcPr>
            <w:tcW w:w="5500" w:type="dxa"/>
          </w:tcPr>
          <w:p w:rsidR="008E63FE" w:rsidRDefault="00E3764C">
            <w:pPr>
              <w:pStyle w:val="TableParagraph"/>
              <w:spacing w:before="86"/>
              <w:ind w:left="105" w:right="82"/>
              <w:rPr>
                <w:sz w:val="20"/>
              </w:rPr>
            </w:pPr>
            <w:r>
              <w:rPr>
                <w:sz w:val="20"/>
              </w:rPr>
              <w:t>Повний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паперовій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відсутність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кримінальним процесуальним законодавством України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тридцяти денної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давнини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8E63FE">
        <w:trPr>
          <w:trHeight w:val="2529"/>
        </w:trPr>
        <w:tc>
          <w:tcPr>
            <w:tcW w:w="4290" w:type="dxa"/>
          </w:tcPr>
          <w:p w:rsidR="008E63FE" w:rsidRDefault="00E3764C">
            <w:pPr>
              <w:pStyle w:val="TableParagraph"/>
              <w:tabs>
                <w:tab w:val="left" w:pos="2347"/>
                <w:tab w:val="left" w:pos="3973"/>
              </w:tabs>
              <w:spacing w:before="91"/>
              <w:ind w:right="223"/>
              <w:rPr>
                <w:sz w:val="20"/>
              </w:rPr>
            </w:pP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 особу, яка є учасником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було притягнуто згідно із законом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z w:val="20"/>
              </w:rPr>
              <w:tab/>
              <w:t>пов’язаного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використанням дитячої праці чи будь-якими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торгівлі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8E63FE" w:rsidRDefault="00E3764C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5500" w:type="dxa"/>
          </w:tcPr>
          <w:p w:rsidR="008E63FE" w:rsidRDefault="00E3764C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Повний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паперовій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відсутність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кримінальним процесуальним законодавством України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 учасника процедури закупівлі, фізичну особу, яка 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пропозицію.</w:t>
            </w:r>
          </w:p>
          <w:p w:rsidR="008E63FE" w:rsidRDefault="00E3764C">
            <w:pPr>
              <w:pStyle w:val="TableParagraph"/>
              <w:spacing w:line="228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Документ повинен бути не більше тридцяти денної давнини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8E63FE">
        <w:trPr>
          <w:trHeight w:val="3681"/>
        </w:trPr>
        <w:tc>
          <w:tcPr>
            <w:tcW w:w="4290" w:type="dxa"/>
          </w:tcPr>
          <w:p w:rsidR="008E63FE" w:rsidRDefault="00E3764C">
            <w:pPr>
              <w:pStyle w:val="TableParagraph"/>
              <w:ind w:left="242" w:right="223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замовником,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 розірвання, і було застосовано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збитків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трьох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років з дати дострокового розірвання 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договору. Учасник процедури закупівлі,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перебуває в обставинах, зазначених у цьому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абзаці, може надати підтвердження вжиття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підстави для відмови в участі у відкритих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торгах.</w:t>
            </w:r>
          </w:p>
          <w:p w:rsidR="008E63FE" w:rsidRDefault="00E3764C">
            <w:pPr>
              <w:pStyle w:val="TableParagraph"/>
              <w:spacing w:before="2"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(абзац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5500" w:type="dxa"/>
          </w:tcPr>
          <w:p w:rsidR="008E63FE" w:rsidRDefault="00E3764C">
            <w:pPr>
              <w:pStyle w:val="TableParagraph"/>
              <w:ind w:left="107" w:right="78"/>
              <w:rPr>
                <w:sz w:val="20"/>
              </w:rPr>
            </w:pPr>
            <w:r>
              <w:rPr>
                <w:sz w:val="20"/>
              </w:rPr>
              <w:t>Довідка в довільній формі, яка містить інформацію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 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учасником-переможцем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 укладено договорів, або про те, що учасник-переможець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розірвання і до застосування санкції у вигляді штрафів та/або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відшкодування збитків, не було, або довідка з інформацією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відповідної підстави для відмови в участі у відкритих торгах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переможець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(суб’єкт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господарювання)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довести, що він сплатив або зобов’язався сплатити відповідні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збитків.</w:t>
            </w:r>
          </w:p>
        </w:tc>
      </w:tr>
    </w:tbl>
    <w:p w:rsidR="008E63FE" w:rsidRDefault="008E63FE">
      <w:pPr>
        <w:pStyle w:val="a3"/>
        <w:spacing w:before="8"/>
        <w:rPr>
          <w:b/>
          <w:sz w:val="11"/>
        </w:rPr>
      </w:pPr>
    </w:p>
    <w:p w:rsidR="008E63FE" w:rsidRDefault="00E3764C">
      <w:pPr>
        <w:spacing w:before="90"/>
        <w:ind w:left="100" w:right="99"/>
        <w:jc w:val="both"/>
        <w:rPr>
          <w:i/>
          <w:sz w:val="20"/>
        </w:rPr>
      </w:pPr>
      <w:r>
        <w:rPr>
          <w:i/>
          <w:sz w:val="20"/>
        </w:rPr>
        <w:t>Фізична особа-підприємець, яка на умовах трудового договору наймає працівників для сприяння йому у здійсненні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підприємницької діяльності – це службова (посадова) особа. Фізична особа-підприємець, яка НЕ наймає працівників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 умовах трудового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договору для сприяння йому у здійсненні підприємницької діяльності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 фізична особа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(відповідно 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листа Міністерства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юстиції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03.11.2006 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22-48-548).</w:t>
      </w:r>
    </w:p>
    <w:p w:rsidR="008E63FE" w:rsidRDefault="008E63FE">
      <w:pPr>
        <w:pStyle w:val="a3"/>
        <w:spacing w:before="10"/>
        <w:rPr>
          <w:i/>
          <w:sz w:val="21"/>
        </w:rPr>
      </w:pPr>
    </w:p>
    <w:p w:rsidR="008E63FE" w:rsidRDefault="00E3764C">
      <w:pPr>
        <w:ind w:left="100" w:right="106"/>
        <w:jc w:val="both"/>
        <w:rPr>
          <w:i/>
          <w:sz w:val="20"/>
        </w:rPr>
      </w:pPr>
      <w:r>
        <w:rPr>
          <w:i/>
          <w:sz w:val="20"/>
        </w:rPr>
        <w:t>Першим днем строку, передбаченого цією тендерною документацією та/ або Законом, та/ або Особливостями,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перебіг якого визначається з дати певної події, вважатиметься наступний за днем відповідної події календарний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робочий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день, залежно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того,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яких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днях (календарних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робочих)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обраховується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відповідний строк.</w:t>
      </w:r>
    </w:p>
    <w:p w:rsidR="008E63FE" w:rsidRDefault="008E63FE">
      <w:pPr>
        <w:pStyle w:val="a3"/>
        <w:rPr>
          <w:i/>
          <w:sz w:val="20"/>
        </w:rPr>
      </w:pPr>
    </w:p>
    <w:p w:rsidR="008E63FE" w:rsidRDefault="00E3764C">
      <w:pPr>
        <w:spacing w:before="1"/>
        <w:ind w:left="100" w:right="101"/>
        <w:jc w:val="both"/>
        <w:rPr>
          <w:i/>
          <w:sz w:val="20"/>
        </w:rPr>
      </w:pPr>
      <w:r>
        <w:rPr>
          <w:i/>
          <w:sz w:val="20"/>
        </w:rPr>
        <w:t>Враховуючи, що відповідно до статті 55 Господарського кодексу України відокремлені підрозділи та філії не 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юридичними особами, переможець, який є відокремленим підрозділом або філією юридичної особи, має надати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витяг або довідку з Єдиного державного реєстру осіб, які вчинили корупційні правопорушення та повний витяг 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інформаційно-аналітичної системи «Облік відомостей про притягнення особи до кримінальної відповідальності та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наявності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судимості» 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керівника юридичної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особи 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відокремленого підрозділу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або філії.</w:t>
      </w:r>
    </w:p>
    <w:sectPr w:rsidR="008E63FE" w:rsidSect="008E63FE">
      <w:pgSz w:w="11920" w:h="16850"/>
      <w:pgMar w:top="840" w:right="600" w:bottom="280" w:left="11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7ECA"/>
    <w:multiLevelType w:val="hybridMultilevel"/>
    <w:tmpl w:val="837A4EC2"/>
    <w:lvl w:ilvl="0" w:tplc="D2302DFC">
      <w:start w:val="1"/>
      <w:numFmt w:val="decimal"/>
      <w:lvlText w:val="%1."/>
      <w:lvlJc w:val="left"/>
      <w:pPr>
        <w:ind w:left="316" w:hanging="279"/>
      </w:pPr>
      <w:rPr>
        <w:rFonts w:hint="default"/>
        <w:b/>
        <w:bCs/>
        <w:w w:val="100"/>
        <w:lang w:val="uk-UA" w:eastAsia="en-US" w:bidi="ar-SA"/>
      </w:rPr>
    </w:lvl>
    <w:lvl w:ilvl="1" w:tplc="8D348046">
      <w:numFmt w:val="bullet"/>
      <w:lvlText w:val="•"/>
      <w:lvlJc w:val="left"/>
      <w:pPr>
        <w:ind w:left="1309" w:hanging="279"/>
      </w:pPr>
      <w:rPr>
        <w:rFonts w:hint="default"/>
        <w:lang w:val="uk-UA" w:eastAsia="en-US" w:bidi="ar-SA"/>
      </w:rPr>
    </w:lvl>
    <w:lvl w:ilvl="2" w:tplc="98F0B422">
      <w:numFmt w:val="bullet"/>
      <w:lvlText w:val="•"/>
      <w:lvlJc w:val="left"/>
      <w:pPr>
        <w:ind w:left="2298" w:hanging="279"/>
      </w:pPr>
      <w:rPr>
        <w:rFonts w:hint="default"/>
        <w:lang w:val="uk-UA" w:eastAsia="en-US" w:bidi="ar-SA"/>
      </w:rPr>
    </w:lvl>
    <w:lvl w:ilvl="3" w:tplc="EF701E36">
      <w:numFmt w:val="bullet"/>
      <w:lvlText w:val="•"/>
      <w:lvlJc w:val="left"/>
      <w:pPr>
        <w:ind w:left="3287" w:hanging="279"/>
      </w:pPr>
      <w:rPr>
        <w:rFonts w:hint="default"/>
        <w:lang w:val="uk-UA" w:eastAsia="en-US" w:bidi="ar-SA"/>
      </w:rPr>
    </w:lvl>
    <w:lvl w:ilvl="4" w:tplc="78B4F770">
      <w:numFmt w:val="bullet"/>
      <w:lvlText w:val="•"/>
      <w:lvlJc w:val="left"/>
      <w:pPr>
        <w:ind w:left="4276" w:hanging="279"/>
      </w:pPr>
      <w:rPr>
        <w:rFonts w:hint="default"/>
        <w:lang w:val="uk-UA" w:eastAsia="en-US" w:bidi="ar-SA"/>
      </w:rPr>
    </w:lvl>
    <w:lvl w:ilvl="5" w:tplc="3FB43C14">
      <w:numFmt w:val="bullet"/>
      <w:lvlText w:val="•"/>
      <w:lvlJc w:val="left"/>
      <w:pPr>
        <w:ind w:left="5265" w:hanging="279"/>
      </w:pPr>
      <w:rPr>
        <w:rFonts w:hint="default"/>
        <w:lang w:val="uk-UA" w:eastAsia="en-US" w:bidi="ar-SA"/>
      </w:rPr>
    </w:lvl>
    <w:lvl w:ilvl="6" w:tplc="45CABA8E">
      <w:numFmt w:val="bullet"/>
      <w:lvlText w:val="•"/>
      <w:lvlJc w:val="left"/>
      <w:pPr>
        <w:ind w:left="6254" w:hanging="279"/>
      </w:pPr>
      <w:rPr>
        <w:rFonts w:hint="default"/>
        <w:lang w:val="uk-UA" w:eastAsia="en-US" w:bidi="ar-SA"/>
      </w:rPr>
    </w:lvl>
    <w:lvl w:ilvl="7" w:tplc="57605E9C">
      <w:numFmt w:val="bullet"/>
      <w:lvlText w:val="•"/>
      <w:lvlJc w:val="left"/>
      <w:pPr>
        <w:ind w:left="7243" w:hanging="279"/>
      </w:pPr>
      <w:rPr>
        <w:rFonts w:hint="default"/>
        <w:lang w:val="uk-UA" w:eastAsia="en-US" w:bidi="ar-SA"/>
      </w:rPr>
    </w:lvl>
    <w:lvl w:ilvl="8" w:tplc="202CC408">
      <w:numFmt w:val="bullet"/>
      <w:lvlText w:val="•"/>
      <w:lvlJc w:val="left"/>
      <w:pPr>
        <w:ind w:left="8232" w:hanging="27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63FE"/>
    <w:rsid w:val="00027BE1"/>
    <w:rsid w:val="0045742B"/>
    <w:rsid w:val="00580D8E"/>
    <w:rsid w:val="005D38C4"/>
    <w:rsid w:val="00880D9A"/>
    <w:rsid w:val="008E63FE"/>
    <w:rsid w:val="0096093A"/>
    <w:rsid w:val="00E3764C"/>
    <w:rsid w:val="00F13467"/>
    <w:rsid w:val="00F4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3F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63FE"/>
    <w:pPr>
      <w:spacing w:before="2"/>
    </w:pPr>
  </w:style>
  <w:style w:type="paragraph" w:customStyle="1" w:styleId="Heading1">
    <w:name w:val="Heading 1"/>
    <w:basedOn w:val="a"/>
    <w:uiPriority w:val="1"/>
    <w:qFormat/>
    <w:rsid w:val="008E63FE"/>
    <w:pPr>
      <w:spacing w:before="64"/>
      <w:ind w:left="1329" w:hanging="761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8E63FE"/>
    <w:pPr>
      <w:ind w:left="316" w:right="238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8E63FE"/>
    <w:pPr>
      <w:ind w:left="316" w:right="238"/>
    </w:pPr>
  </w:style>
  <w:style w:type="paragraph" w:customStyle="1" w:styleId="TableParagraph">
    <w:name w:val="Table Paragraph"/>
    <w:basedOn w:val="a"/>
    <w:uiPriority w:val="1"/>
    <w:qFormat/>
    <w:rsid w:val="008E63FE"/>
    <w:pPr>
      <w:ind w:left="24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5542</Words>
  <Characters>3160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3</cp:lastModifiedBy>
  <cp:revision>9</cp:revision>
  <dcterms:created xsi:type="dcterms:W3CDTF">2023-08-28T08:35:00Z</dcterms:created>
  <dcterms:modified xsi:type="dcterms:W3CDTF">2023-08-28T10:24:00Z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