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Pr="00BC2B53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D30943">
        <w:rPr>
          <w:b/>
          <w:lang w:val="uk-UA"/>
        </w:rPr>
        <w:t xml:space="preserve"> у статтях 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6 підпункту 2 пункту 41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встановленої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 14 пункту 44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18156B" w:rsidRPr="0018156B" w:rsidRDefault="0018156B" w:rsidP="0018156B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</w:rPr>
      </w:pPr>
      <w:proofErr w:type="spellStart"/>
      <w:r w:rsidRPr="0018156B">
        <w:rPr>
          <w:rFonts w:eastAsia="Times New Roman"/>
          <w:b/>
        </w:rPr>
        <w:t>Перелік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документів</w:t>
      </w:r>
      <w:proofErr w:type="spellEnd"/>
      <w:r w:rsidRPr="0018156B">
        <w:rPr>
          <w:rFonts w:eastAsia="Times New Roman"/>
          <w:b/>
        </w:rPr>
        <w:t xml:space="preserve"> та </w:t>
      </w:r>
      <w:proofErr w:type="spellStart"/>
      <w:r w:rsidRPr="0018156B">
        <w:rPr>
          <w:rFonts w:eastAsia="Times New Roman"/>
          <w:b/>
        </w:rPr>
        <w:t>інформації</w:t>
      </w:r>
      <w:proofErr w:type="spellEnd"/>
      <w:r w:rsidRPr="0018156B">
        <w:rPr>
          <w:rFonts w:eastAsia="Times New Roman"/>
          <w:b/>
        </w:rPr>
        <w:t xml:space="preserve">  для </w:t>
      </w:r>
      <w:proofErr w:type="spellStart"/>
      <w:proofErr w:type="gramStart"/>
      <w:r w:rsidRPr="0018156B">
        <w:rPr>
          <w:rFonts w:eastAsia="Times New Roman"/>
          <w:b/>
        </w:rPr>
        <w:t>п</w:t>
      </w:r>
      <w:proofErr w:type="gramEnd"/>
      <w:r w:rsidRPr="0018156B">
        <w:rPr>
          <w:rFonts w:eastAsia="Times New Roman"/>
          <w:b/>
        </w:rPr>
        <w:t>ідтвердження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відповідності</w:t>
      </w:r>
      <w:proofErr w:type="spellEnd"/>
      <w:r w:rsidRPr="0018156B">
        <w:rPr>
          <w:rFonts w:eastAsia="Times New Roman"/>
          <w:b/>
        </w:rPr>
        <w:t xml:space="preserve"> УЧАСНИКА  </w:t>
      </w:r>
      <w:proofErr w:type="spellStart"/>
      <w:r w:rsidRPr="0018156B">
        <w:rPr>
          <w:rFonts w:eastAsia="Times New Roman"/>
          <w:b/>
        </w:rPr>
        <w:t>кваліфікаційним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критеріям</w:t>
      </w:r>
      <w:proofErr w:type="spellEnd"/>
      <w:r w:rsidRPr="0018156B">
        <w:rPr>
          <w:rFonts w:eastAsia="Times New Roman"/>
          <w:b/>
        </w:rPr>
        <w:t xml:space="preserve">, </w:t>
      </w:r>
      <w:proofErr w:type="spellStart"/>
      <w:r w:rsidRPr="0018156B">
        <w:rPr>
          <w:rFonts w:eastAsia="Times New Roman"/>
          <w:b/>
        </w:rPr>
        <w:t>визначеним</w:t>
      </w:r>
      <w:proofErr w:type="spellEnd"/>
      <w:r w:rsidRPr="0018156B">
        <w:rPr>
          <w:rFonts w:eastAsia="Times New Roman"/>
          <w:b/>
        </w:rPr>
        <w:t xml:space="preserve"> у </w:t>
      </w:r>
      <w:proofErr w:type="spellStart"/>
      <w:r w:rsidRPr="0018156B">
        <w:rPr>
          <w:rFonts w:eastAsia="Times New Roman"/>
          <w:b/>
        </w:rPr>
        <w:t>статті</w:t>
      </w:r>
      <w:proofErr w:type="spellEnd"/>
      <w:r w:rsidRPr="0018156B">
        <w:rPr>
          <w:rFonts w:eastAsia="Times New Roman"/>
          <w:b/>
        </w:rPr>
        <w:t xml:space="preserve"> 16 Закону “Про </w:t>
      </w:r>
      <w:proofErr w:type="spellStart"/>
      <w:r w:rsidRPr="0018156B">
        <w:rPr>
          <w:rFonts w:eastAsia="Times New Roman"/>
          <w:b/>
        </w:rPr>
        <w:t>публічні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закупівлі</w:t>
      </w:r>
      <w:proofErr w:type="spellEnd"/>
      <w:r w:rsidRPr="0018156B">
        <w:rPr>
          <w:rFonts w:eastAsia="Times New Roman"/>
          <w:b/>
        </w:rPr>
        <w:t>”:</w:t>
      </w:r>
    </w:p>
    <w:p w:rsidR="0018156B" w:rsidRPr="0018156B" w:rsidRDefault="0018156B" w:rsidP="0018156B">
      <w:pPr>
        <w:spacing w:line="240" w:lineRule="auto"/>
        <w:ind w:left="885"/>
        <w:jc w:val="center"/>
        <w:rPr>
          <w:rFonts w:eastAsia="Times New Roman"/>
          <w:b/>
          <w:i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18156B" w:rsidRPr="0018156B" w:rsidTr="004D559C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56B" w:rsidRPr="0018156B" w:rsidRDefault="0018156B" w:rsidP="00202EA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56B" w:rsidRPr="0018156B" w:rsidRDefault="0018156B" w:rsidP="00202EA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56B" w:rsidRPr="0018156B" w:rsidRDefault="0018156B" w:rsidP="00202EA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18156B" w:rsidRPr="0018156B" w:rsidTr="00EE4C91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56B" w:rsidRPr="0018156B" w:rsidRDefault="0018156B" w:rsidP="004D559C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закупівлі,</w:t>
            </w:r>
            <w:r w:rsidR="00413059" w:rsidRPr="00A92BA2">
              <w:rPr>
                <w:rFonts w:eastAsia="Times New Roman"/>
                <w:lang w:val="uk-UA"/>
              </w:rPr>
              <w:t xml:space="preserve"> і містити посилання за ідентифікатором в авторизованій системі «</w:t>
            </w:r>
            <w:r w:rsidR="00413059" w:rsidRPr="00A92BA2">
              <w:rPr>
                <w:rFonts w:eastAsia="Times New Roman"/>
                <w:lang w:val="en-US"/>
              </w:rPr>
              <w:t>PROZORRO</w:t>
            </w:r>
            <w:r w:rsidR="00413059" w:rsidRPr="00A92BA2">
              <w:rPr>
                <w:rFonts w:eastAsia="Times New Roman"/>
                <w:lang w:val="uk-UA"/>
              </w:rPr>
              <w:t>»</w:t>
            </w:r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  <w:highlight w:val="white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lastRenderedPageBreak/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18156B" w:rsidRPr="00951547" w:rsidRDefault="0018156B" w:rsidP="0018156B">
      <w:pPr>
        <w:spacing w:before="240" w:line="240" w:lineRule="auto"/>
        <w:ind w:firstLine="720"/>
        <w:rPr>
          <w:rFonts w:eastAsia="Times New Roman"/>
          <w:sz w:val="20"/>
          <w:szCs w:val="20"/>
        </w:rPr>
      </w:pPr>
      <w:r w:rsidRPr="00951547">
        <w:rPr>
          <w:rFonts w:eastAsia="Times New Roman"/>
          <w:i/>
          <w:sz w:val="20"/>
          <w:szCs w:val="20"/>
        </w:rPr>
        <w:lastRenderedPageBreak/>
        <w:t xml:space="preserve">**У </w:t>
      </w:r>
      <w:proofErr w:type="spellStart"/>
      <w:r w:rsidRPr="00951547">
        <w:rPr>
          <w:rFonts w:eastAsia="Times New Roman"/>
          <w:i/>
          <w:sz w:val="20"/>
          <w:szCs w:val="20"/>
        </w:rPr>
        <w:t>разі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участі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об’єднання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учасників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proofErr w:type="gramStart"/>
      <w:r w:rsidRPr="00951547">
        <w:rPr>
          <w:rFonts w:eastAsia="Times New Roman"/>
          <w:i/>
          <w:sz w:val="20"/>
          <w:szCs w:val="20"/>
        </w:rPr>
        <w:t>п</w:t>
      </w:r>
      <w:proofErr w:type="gramEnd"/>
      <w:r w:rsidRPr="00951547">
        <w:rPr>
          <w:rFonts w:eastAsia="Times New Roman"/>
          <w:i/>
          <w:sz w:val="20"/>
          <w:szCs w:val="20"/>
        </w:rPr>
        <w:t>ідтвердження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відповідності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кваліфікаційним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критеріям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здійснюється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з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урахуванням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узагальнених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об’єднаних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показників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кожного </w:t>
      </w:r>
      <w:proofErr w:type="spellStart"/>
      <w:r w:rsidRPr="00951547">
        <w:rPr>
          <w:rFonts w:eastAsia="Times New Roman"/>
          <w:i/>
          <w:sz w:val="20"/>
          <w:szCs w:val="20"/>
        </w:rPr>
        <w:t>учасника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такого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об’єднання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на </w:t>
      </w:r>
      <w:proofErr w:type="spellStart"/>
      <w:r w:rsidRPr="00951547">
        <w:rPr>
          <w:rFonts w:eastAsia="Times New Roman"/>
          <w:i/>
          <w:sz w:val="20"/>
          <w:szCs w:val="20"/>
        </w:rPr>
        <w:t>підставі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наданої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об’єднанням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інформації</w:t>
      </w:r>
      <w:proofErr w:type="spellEnd"/>
      <w:r w:rsidRPr="00951547">
        <w:rPr>
          <w:rFonts w:eastAsia="Times New Roman"/>
          <w:i/>
          <w:sz w:val="20"/>
          <w:szCs w:val="20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E63875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 w:rsidRPr="00A92BA2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lastRenderedPageBreak/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71" w:rsidRDefault="00507771">
      <w:pPr>
        <w:spacing w:line="240" w:lineRule="auto"/>
      </w:pPr>
      <w:r>
        <w:separator/>
      </w:r>
    </w:p>
  </w:endnote>
  <w:endnote w:type="continuationSeparator" w:id="0">
    <w:p w:rsidR="00507771" w:rsidRDefault="00507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71" w:rsidRDefault="00507771">
      <w:r>
        <w:separator/>
      </w:r>
    </w:p>
  </w:footnote>
  <w:footnote w:type="continuationSeparator" w:id="0">
    <w:p w:rsidR="00507771" w:rsidRDefault="00507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541C9"/>
    <w:rsid w:val="000831EE"/>
    <w:rsid w:val="00083EA8"/>
    <w:rsid w:val="0008458D"/>
    <w:rsid w:val="00090B77"/>
    <w:rsid w:val="000E4C8C"/>
    <w:rsid w:val="000F15AC"/>
    <w:rsid w:val="001010C0"/>
    <w:rsid w:val="00146E1F"/>
    <w:rsid w:val="00180E54"/>
    <w:rsid w:val="0018156B"/>
    <w:rsid w:val="001912B7"/>
    <w:rsid w:val="00194EA4"/>
    <w:rsid w:val="0019597F"/>
    <w:rsid w:val="001C293B"/>
    <w:rsid w:val="00202EA9"/>
    <w:rsid w:val="00234682"/>
    <w:rsid w:val="002B413F"/>
    <w:rsid w:val="0031502A"/>
    <w:rsid w:val="0033776C"/>
    <w:rsid w:val="00346E33"/>
    <w:rsid w:val="00375A39"/>
    <w:rsid w:val="003E3204"/>
    <w:rsid w:val="00413059"/>
    <w:rsid w:val="0041441E"/>
    <w:rsid w:val="004512B5"/>
    <w:rsid w:val="004A61E6"/>
    <w:rsid w:val="004F1661"/>
    <w:rsid w:val="00505D84"/>
    <w:rsid w:val="00507771"/>
    <w:rsid w:val="00543668"/>
    <w:rsid w:val="00563751"/>
    <w:rsid w:val="0060651C"/>
    <w:rsid w:val="00620456"/>
    <w:rsid w:val="006207D7"/>
    <w:rsid w:val="0063799C"/>
    <w:rsid w:val="006C2BFF"/>
    <w:rsid w:val="00701AC0"/>
    <w:rsid w:val="00762DC2"/>
    <w:rsid w:val="00776677"/>
    <w:rsid w:val="007C3CC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3CEA"/>
    <w:rsid w:val="009B2D6F"/>
    <w:rsid w:val="009C75B1"/>
    <w:rsid w:val="00A22A91"/>
    <w:rsid w:val="00A401F5"/>
    <w:rsid w:val="00A7425D"/>
    <w:rsid w:val="00A776AA"/>
    <w:rsid w:val="00A802B6"/>
    <w:rsid w:val="00A92BA2"/>
    <w:rsid w:val="00A95F10"/>
    <w:rsid w:val="00AF7CA8"/>
    <w:rsid w:val="00B0723A"/>
    <w:rsid w:val="00B23B25"/>
    <w:rsid w:val="00B718F7"/>
    <w:rsid w:val="00BA7B17"/>
    <w:rsid w:val="00BC2B53"/>
    <w:rsid w:val="00BC4A4A"/>
    <w:rsid w:val="00BD36A4"/>
    <w:rsid w:val="00C05AC5"/>
    <w:rsid w:val="00C1646C"/>
    <w:rsid w:val="00C16B8D"/>
    <w:rsid w:val="00C50EA1"/>
    <w:rsid w:val="00C971A9"/>
    <w:rsid w:val="00CC58BF"/>
    <w:rsid w:val="00D011CD"/>
    <w:rsid w:val="00D30943"/>
    <w:rsid w:val="00D41A23"/>
    <w:rsid w:val="00D45737"/>
    <w:rsid w:val="00D66EBE"/>
    <w:rsid w:val="00DC1F75"/>
    <w:rsid w:val="00DF333C"/>
    <w:rsid w:val="00E4370B"/>
    <w:rsid w:val="00E63875"/>
    <w:rsid w:val="00EE4C91"/>
    <w:rsid w:val="00F5127A"/>
    <w:rsid w:val="00F80DA6"/>
    <w:rsid w:val="00FC17DE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5228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37</cp:revision>
  <dcterms:created xsi:type="dcterms:W3CDTF">2022-09-28T10:56:00Z</dcterms:created>
  <dcterms:modified xsi:type="dcterms:W3CDTF">2023-03-23T10:39:00Z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