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235191E8"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F7434B">
        <w:rPr>
          <w:bCs/>
          <w:lang w:val="uk-UA"/>
        </w:rPr>
        <w:t>33</w:t>
      </w:r>
      <w:r w:rsidRPr="00AB710C">
        <w:rPr>
          <w:bCs/>
          <w:lang w:val="uk-UA"/>
        </w:rPr>
        <w:t xml:space="preserve"> </w:t>
      </w:r>
      <w:r w:rsidRPr="00AB710C">
        <w:rPr>
          <w:bCs/>
          <w:color w:val="000000" w:themeColor="text1"/>
          <w:lang w:val="uk-UA"/>
        </w:rPr>
        <w:t xml:space="preserve">від </w:t>
      </w:r>
      <w:r w:rsidR="00F7434B">
        <w:rPr>
          <w:bCs/>
          <w:color w:val="000000" w:themeColor="text1"/>
          <w:lang w:val="uk-UA"/>
        </w:rPr>
        <w:t>02.02.</w:t>
      </w:r>
      <w:r w:rsidR="00D509E6" w:rsidRPr="00AB710C">
        <w:rPr>
          <w:bCs/>
          <w:color w:val="000000" w:themeColor="text1"/>
          <w:lang w:val="uk-UA"/>
        </w:rPr>
        <w:t>202</w:t>
      </w:r>
      <w:r w:rsidR="00F7434B">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31F94AB8"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 xml:space="preserve">____________ </w:t>
      </w:r>
      <w:r w:rsidR="0078444C">
        <w:rPr>
          <w:lang w:val="uk-UA"/>
        </w:rPr>
        <w:t>Тетяна ОБЕРТЮХ</w:t>
      </w:r>
      <w:bookmarkStart w:id="0" w:name="_GoBack"/>
      <w:bookmarkEnd w:id="0"/>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Pr="00AB710C" w:rsidRDefault="008E36CB" w:rsidP="008E36CB">
      <w:pPr>
        <w:rPr>
          <w:lang w:val="uk-UA"/>
        </w:rPr>
      </w:pPr>
    </w:p>
    <w:p w14:paraId="142EA945" w14:textId="77777777" w:rsidR="008E36CB" w:rsidRPr="00AB710C" w:rsidRDefault="008E36CB" w:rsidP="008E36CB">
      <w:pPr>
        <w:jc w:val="center"/>
        <w:rPr>
          <w:b/>
          <w:lang w:val="uk-UA"/>
        </w:rPr>
      </w:pPr>
    </w:p>
    <w:p w14:paraId="08F47EA8" w14:textId="7A00453B" w:rsidR="00DE12EC" w:rsidRPr="00F7434B" w:rsidRDefault="00DE12EC" w:rsidP="00DE12EC">
      <w:pPr>
        <w:autoSpaceDE w:val="0"/>
        <w:autoSpaceDN w:val="0"/>
        <w:adjustRightInd w:val="0"/>
        <w:spacing w:after="120"/>
        <w:jc w:val="center"/>
        <w:rPr>
          <w:b/>
          <w:sz w:val="44"/>
          <w:szCs w:val="44"/>
          <w:lang w:val="uk-UA"/>
        </w:rPr>
      </w:pPr>
      <w:r w:rsidRPr="00F7434B">
        <w:rPr>
          <w:b/>
          <w:sz w:val="44"/>
          <w:szCs w:val="44"/>
          <w:lang w:val="uk-UA"/>
        </w:rPr>
        <w:t>ДК 021:2015 код 722</w:t>
      </w:r>
      <w:r w:rsidR="00F7434B" w:rsidRPr="00F7434B">
        <w:rPr>
          <w:b/>
          <w:sz w:val="44"/>
          <w:szCs w:val="44"/>
          <w:lang w:val="uk-UA"/>
        </w:rPr>
        <w:t>1</w:t>
      </w:r>
      <w:r w:rsidRPr="00F7434B">
        <w:rPr>
          <w:b/>
          <w:sz w:val="44"/>
          <w:szCs w:val="44"/>
          <w:lang w:val="uk-UA"/>
        </w:rPr>
        <w:t>0000-</w:t>
      </w:r>
      <w:r w:rsidR="00F7434B" w:rsidRPr="00F7434B">
        <w:rPr>
          <w:b/>
          <w:sz w:val="44"/>
          <w:szCs w:val="44"/>
          <w:lang w:val="uk-UA"/>
        </w:rPr>
        <w:t>0</w:t>
      </w:r>
      <w:r w:rsidRPr="00F7434B">
        <w:rPr>
          <w:b/>
          <w:sz w:val="44"/>
          <w:szCs w:val="44"/>
          <w:lang w:val="uk-UA"/>
        </w:rPr>
        <w:t xml:space="preserve"> </w:t>
      </w:r>
      <w:r w:rsidR="00F7434B" w:rsidRPr="00F7434B">
        <w:rPr>
          <w:b/>
          <w:sz w:val="44"/>
          <w:szCs w:val="44"/>
        </w:rPr>
        <w:t>Послуги з розробки пакетів програмного забезпечення</w:t>
      </w:r>
    </w:p>
    <w:p w14:paraId="4346B7EE" w14:textId="0845F8DE" w:rsidR="00D27038" w:rsidRPr="00AB710C" w:rsidRDefault="00DE12EC" w:rsidP="00DE12EC">
      <w:pPr>
        <w:autoSpaceDE w:val="0"/>
        <w:autoSpaceDN w:val="0"/>
        <w:adjustRightInd w:val="0"/>
        <w:spacing w:after="120"/>
        <w:jc w:val="center"/>
        <w:rPr>
          <w:b/>
          <w:color w:val="3333FF"/>
          <w:sz w:val="44"/>
          <w:szCs w:val="44"/>
          <w:lang w:val="uk-UA"/>
        </w:rPr>
      </w:pPr>
      <w:r w:rsidRPr="00F7434B">
        <w:rPr>
          <w:b/>
          <w:sz w:val="44"/>
          <w:szCs w:val="44"/>
          <w:lang w:val="uk-UA"/>
        </w:rPr>
        <w:t xml:space="preserve">(Послуги із прогнозування обсягів </w:t>
      </w:r>
      <w:r w:rsidR="00756BAB" w:rsidRPr="00F7434B">
        <w:rPr>
          <w:b/>
          <w:sz w:val="44"/>
          <w:szCs w:val="44"/>
          <w:lang w:val="uk-UA"/>
        </w:rPr>
        <w:t>споживання</w:t>
      </w:r>
      <w:r w:rsidRPr="00F7434B">
        <w:rPr>
          <w:b/>
          <w:sz w:val="44"/>
          <w:szCs w:val="44"/>
          <w:lang w:val="uk-UA"/>
        </w:rPr>
        <w:t xml:space="preserve"> </w:t>
      </w:r>
      <w:r w:rsidR="00756BAB" w:rsidRPr="00F7434B">
        <w:rPr>
          <w:b/>
          <w:sz w:val="44"/>
          <w:szCs w:val="44"/>
          <w:lang w:val="uk-UA"/>
        </w:rPr>
        <w:t>електричної енергії</w:t>
      </w:r>
      <w:r w:rsidRPr="00F7434B">
        <w:rPr>
          <w:sz w:val="44"/>
          <w:szCs w:val="44"/>
          <w:lang w:val="uk-UA"/>
        </w:rPr>
        <w:t>)</w:t>
      </w:r>
      <w:r w:rsidR="004B3FFC" w:rsidRPr="00AB710C" w:rsidDel="004B3FFC">
        <w:rPr>
          <w:b/>
          <w:color w:val="3333FF"/>
          <w:sz w:val="44"/>
          <w:szCs w:val="44"/>
          <w:lang w:val="uk-UA"/>
        </w:rPr>
        <w:t xml:space="preserve"> </w:t>
      </w:r>
    </w:p>
    <w:p w14:paraId="0B0B0DEA" w14:textId="77777777" w:rsidR="008010F6" w:rsidRPr="00AB710C" w:rsidRDefault="008010F6" w:rsidP="008010F6">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AB710C">
        <w:rPr>
          <w:b/>
          <w:lang w:val="en-US"/>
        </w:rPr>
        <w:t>4</w:t>
      </w:r>
      <w:r w:rsidR="008E36CB" w:rsidRPr="00AB710C">
        <w:rPr>
          <w:b/>
          <w:lang w:val="uk-UA"/>
        </w:rPr>
        <w:t xml:space="preserve"> р.</w:t>
      </w:r>
    </w:p>
    <w:p w14:paraId="59695A73" w14:textId="77777777" w:rsidR="00F66C59" w:rsidRPr="00AB710C" w:rsidRDefault="00F66C59" w:rsidP="008E36CB">
      <w:pPr>
        <w:jc w:val="center"/>
        <w:rPr>
          <w:b/>
          <w:lang w:val="uk-UA"/>
        </w:rPr>
      </w:pPr>
    </w:p>
    <w:p w14:paraId="39BFE5BD" w14:textId="77777777" w:rsidR="00F66C59" w:rsidRDefault="00F66C59" w:rsidP="008E36CB">
      <w:pPr>
        <w:jc w:val="center"/>
        <w:rPr>
          <w:b/>
          <w:lang w:val="uk-UA"/>
        </w:rPr>
      </w:pPr>
    </w:p>
    <w:p w14:paraId="7F6919B6" w14:textId="77777777" w:rsidR="00756BAB" w:rsidRPr="00AB710C" w:rsidRDefault="00756BAB" w:rsidP="008E36CB">
      <w:pPr>
        <w:jc w:val="center"/>
        <w:rPr>
          <w:b/>
          <w:lang w:val="uk-UA"/>
        </w:rPr>
      </w:pPr>
    </w:p>
    <w:p w14:paraId="11DD5616" w14:textId="77777777" w:rsidR="008E36CB" w:rsidRPr="00AB710C"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18"/>
        <w:gridCol w:w="6237"/>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AB710C" w:rsidRDefault="008E36CB">
            <w:pPr>
              <w:spacing w:line="276" w:lineRule="auto"/>
              <w:jc w:val="center"/>
              <w:rPr>
                <w:b/>
                <w:color w:val="121212"/>
                <w:lang w:val="uk-UA" w:eastAsia="en-US"/>
              </w:rPr>
            </w:pPr>
            <w:r w:rsidRPr="00AB710C">
              <w:rPr>
                <w:lang w:val="uk-UA"/>
              </w:rPr>
              <w:lastRenderedPageBreak/>
              <w:br w:type="page"/>
            </w:r>
            <w:r w:rsidRPr="00AB710C">
              <w:rPr>
                <w:b/>
                <w:color w:val="121212"/>
                <w:lang w:val="uk-UA" w:eastAsia="en-US"/>
              </w:rPr>
              <w:t>Оголошення про проведення спрощеної закупівлі</w:t>
            </w:r>
          </w:p>
        </w:tc>
      </w:tr>
      <w:tr w:rsidR="00D509E6" w:rsidRPr="00AB710C" w14:paraId="61F6788C" w14:textId="77777777" w:rsidTr="00F7434B">
        <w:trPr>
          <w:tblCellSpacing w:w="0" w:type="dxa"/>
        </w:trPr>
        <w:tc>
          <w:tcPr>
            <w:tcW w:w="3918"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6237"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78444C" w14:paraId="1362696C" w14:textId="77777777" w:rsidTr="00F7434B">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DE12EC" w14:paraId="7A379087" w14:textId="77777777" w:rsidTr="00F7434B">
        <w:trPr>
          <w:trHeight w:val="22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6237" w:type="dxa"/>
            <w:tcBorders>
              <w:top w:val="outset" w:sz="6" w:space="0" w:color="auto"/>
              <w:left w:val="outset" w:sz="6" w:space="0" w:color="auto"/>
              <w:bottom w:val="outset" w:sz="6" w:space="0" w:color="auto"/>
              <w:right w:val="outset" w:sz="6" w:space="0" w:color="auto"/>
            </w:tcBorders>
            <w:hideMark/>
          </w:tcPr>
          <w:p w14:paraId="0627F46A" w14:textId="730636B6" w:rsidR="00756BAB" w:rsidRPr="00F7434B" w:rsidRDefault="00DE12EC" w:rsidP="00756BAB">
            <w:pPr>
              <w:autoSpaceDE w:val="0"/>
              <w:autoSpaceDN w:val="0"/>
              <w:adjustRightInd w:val="0"/>
              <w:spacing w:after="120"/>
              <w:jc w:val="both"/>
              <w:rPr>
                <w:b/>
                <w:lang w:val="uk-UA"/>
              </w:rPr>
            </w:pPr>
            <w:r w:rsidRPr="00F7434B">
              <w:rPr>
                <w:b/>
                <w:lang w:val="uk-UA"/>
              </w:rPr>
              <w:t>ДК 021:2015 код 722</w:t>
            </w:r>
            <w:r w:rsidR="00F7434B" w:rsidRPr="00F7434B">
              <w:rPr>
                <w:b/>
                <w:lang w:val="uk-UA"/>
              </w:rPr>
              <w:t>1</w:t>
            </w:r>
            <w:r w:rsidRPr="00F7434B">
              <w:rPr>
                <w:b/>
                <w:lang w:val="uk-UA"/>
              </w:rPr>
              <w:t>0000-</w:t>
            </w:r>
            <w:r w:rsidR="00F7434B" w:rsidRPr="00F7434B">
              <w:rPr>
                <w:b/>
                <w:lang w:val="uk-UA"/>
              </w:rPr>
              <w:t>0</w:t>
            </w:r>
            <w:r w:rsidRPr="00F7434B">
              <w:rPr>
                <w:b/>
                <w:lang w:val="uk-UA"/>
              </w:rPr>
              <w:t xml:space="preserve"> </w:t>
            </w:r>
            <w:r w:rsidR="00F7434B" w:rsidRPr="00F7434B">
              <w:rPr>
                <w:b/>
              </w:rPr>
              <w:t>Послуги з розробки пакетів програмного забезпечення</w:t>
            </w:r>
          </w:p>
          <w:p w14:paraId="1107A350" w14:textId="7AE7879C" w:rsidR="00756BAB" w:rsidRDefault="00DE12EC" w:rsidP="00756BAB">
            <w:pPr>
              <w:autoSpaceDE w:val="0"/>
              <w:autoSpaceDN w:val="0"/>
              <w:adjustRightInd w:val="0"/>
              <w:spacing w:after="120"/>
              <w:jc w:val="both"/>
              <w:rPr>
                <w:color w:val="0000FF"/>
                <w:lang w:val="uk-UA"/>
              </w:rPr>
            </w:pPr>
            <w:r w:rsidRPr="00F7434B">
              <w:rPr>
                <w:b/>
                <w:lang w:val="uk-UA"/>
              </w:rPr>
              <w:t xml:space="preserve">(Послуги із прогнозування обсягів </w:t>
            </w:r>
            <w:r w:rsidR="00756BAB" w:rsidRPr="00F7434B">
              <w:rPr>
                <w:b/>
                <w:lang w:val="uk-UA"/>
              </w:rPr>
              <w:t>споживання</w:t>
            </w:r>
            <w:r w:rsidRPr="00F7434B">
              <w:rPr>
                <w:b/>
                <w:lang w:val="uk-UA"/>
              </w:rPr>
              <w:t xml:space="preserve"> </w:t>
            </w:r>
            <w:r w:rsidR="00756BAB" w:rsidRPr="00F7434B">
              <w:rPr>
                <w:b/>
                <w:lang w:val="uk-UA"/>
              </w:rPr>
              <w:t>електричної енергії</w:t>
            </w:r>
            <w:r w:rsidRPr="00F7434B">
              <w:rPr>
                <w:b/>
                <w:lang w:val="uk-UA"/>
              </w:rPr>
              <w:t>)</w:t>
            </w:r>
          </w:p>
          <w:p w14:paraId="3CADFFB5" w14:textId="6D10E0F1" w:rsidR="00D509E6" w:rsidRPr="00AB710C" w:rsidRDefault="00380305" w:rsidP="00756BAB">
            <w:pPr>
              <w:autoSpaceDE w:val="0"/>
              <w:autoSpaceDN w:val="0"/>
              <w:adjustRightInd w:val="0"/>
              <w:spacing w:after="120"/>
              <w:jc w:val="both"/>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F7434B">
        <w:trPr>
          <w:trHeight w:val="1894"/>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0B079B6" w14:textId="6E5A09D4"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F7434B">
        <w:trPr>
          <w:trHeight w:val="90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6237"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F7434B">
        <w:trPr>
          <w:trHeight w:val="5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6237"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F7434B">
        <w:trPr>
          <w:trHeight w:val="303"/>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B1B3539" w14:textId="6F76F336" w:rsidR="00D509E6" w:rsidRPr="00AB710C" w:rsidRDefault="005B44FF" w:rsidP="002611A1">
            <w:pPr>
              <w:tabs>
                <w:tab w:val="left" w:pos="284"/>
              </w:tabs>
              <w:spacing w:after="150"/>
              <w:jc w:val="both"/>
              <w:rPr>
                <w:b/>
                <w:lang w:eastAsia="en-US"/>
              </w:rPr>
            </w:pPr>
            <w:r>
              <w:rPr>
                <w:rStyle w:val="ad"/>
                <w:b w:val="0"/>
                <w:lang w:val="en-US"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6237" w:type="dxa"/>
            <w:tcBorders>
              <w:top w:val="outset" w:sz="6" w:space="0" w:color="auto"/>
              <w:left w:val="outset" w:sz="6" w:space="0" w:color="auto"/>
              <w:bottom w:val="outset" w:sz="6" w:space="0" w:color="auto"/>
              <w:right w:val="outset" w:sz="6" w:space="0" w:color="auto"/>
            </w:tcBorders>
            <w:hideMark/>
          </w:tcPr>
          <w:p w14:paraId="7DD59A27" w14:textId="357BB681" w:rsidR="00D509E6" w:rsidRPr="00AB710C" w:rsidRDefault="00D509E6" w:rsidP="005B44FF">
            <w:pPr>
              <w:jc w:val="both"/>
              <w:rPr>
                <w:lang w:val="uk-UA" w:eastAsia="en-US"/>
              </w:rPr>
            </w:pPr>
            <w:r w:rsidRPr="00AB710C">
              <w:rPr>
                <w:lang w:eastAsia="en-US"/>
              </w:rPr>
              <w:t xml:space="preserve">Покупець здійснює розрахунки за фактично отриманий товар протягом 90 </w:t>
            </w:r>
            <w:r w:rsidR="005B44FF">
              <w:rPr>
                <w:lang w:val="uk-UA" w:eastAsia="en-US"/>
              </w:rPr>
              <w:t>банківських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w:t>
            </w:r>
            <w:r w:rsidRPr="00AB710C">
              <w:rPr>
                <w:lang w:eastAsia="en-US"/>
              </w:rPr>
              <w:lastRenderedPageBreak/>
              <w:t xml:space="preserve">суму фактично </w:t>
            </w:r>
            <w:r w:rsidRPr="00AB710C">
              <w:rPr>
                <w:lang w:val="uk-UA" w:eastAsia="en-US"/>
              </w:rPr>
              <w:t>отриманної послуги</w:t>
            </w:r>
            <w:r w:rsidRPr="00AB710C">
              <w:rPr>
                <w:lang w:eastAsia="en-US"/>
              </w:rPr>
              <w:t xml:space="preserve">. 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F7434B">
        <w:trPr>
          <w:trHeight w:val="62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3710491" w14:textId="5788E574" w:rsidR="00D509E6" w:rsidRPr="00AB710C" w:rsidRDefault="005B44FF" w:rsidP="002611A1">
            <w:pPr>
              <w:tabs>
                <w:tab w:val="left" w:pos="284"/>
              </w:tabs>
              <w:spacing w:after="150"/>
              <w:jc w:val="both"/>
              <w:rPr>
                <w:rStyle w:val="ad"/>
                <w:b w:val="0"/>
                <w:lang w:val="uk-UA"/>
              </w:rPr>
            </w:pPr>
            <w:r>
              <w:rPr>
                <w:rStyle w:val="ad"/>
                <w:b w:val="0"/>
                <w:lang w:val="uk-UA"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1C8F841" w14:textId="7F24B972" w:rsidR="00D509E6" w:rsidRPr="00AB710C" w:rsidRDefault="00DE12EC" w:rsidP="004B3FFC">
            <w:pPr>
              <w:jc w:val="both"/>
              <w:rPr>
                <w:b/>
                <w:highlight w:val="yellow"/>
                <w:lang w:val="uk-UA" w:eastAsia="en-US"/>
              </w:rPr>
            </w:pPr>
            <w:r w:rsidRPr="00F7434B">
              <w:rPr>
                <w:b/>
                <w:lang w:val="uk-UA" w:eastAsia="en-US"/>
              </w:rPr>
              <w:t>9</w:t>
            </w:r>
            <w:r w:rsidR="006D1DFD" w:rsidRPr="00F7434B">
              <w:rPr>
                <w:b/>
                <w:lang w:val="uk-UA" w:eastAsia="en-US"/>
              </w:rPr>
              <w:t>0</w:t>
            </w:r>
            <w:r w:rsidR="005C012D" w:rsidRPr="00F7434B">
              <w:rPr>
                <w:b/>
                <w:lang w:eastAsia="en-US"/>
              </w:rPr>
              <w:t>0</w:t>
            </w:r>
            <w:r w:rsidR="003029B7" w:rsidRPr="00F7434B">
              <w:rPr>
                <w:b/>
                <w:lang w:val="en-US" w:eastAsia="en-US"/>
              </w:rPr>
              <w:t> </w:t>
            </w:r>
            <w:r w:rsidR="00D27038" w:rsidRPr="00F7434B">
              <w:rPr>
                <w:b/>
                <w:lang w:val="en-US" w:eastAsia="en-US"/>
              </w:rPr>
              <w:t>000</w:t>
            </w:r>
            <w:r w:rsidR="00D27038" w:rsidRPr="00F7434B">
              <w:rPr>
                <w:b/>
                <w:lang w:eastAsia="en-US"/>
              </w:rPr>
              <w:t xml:space="preserve">,00 </w:t>
            </w:r>
            <w:r w:rsidR="00D509E6" w:rsidRPr="00AB710C">
              <w:rPr>
                <w:b/>
                <w:lang w:val="uk-UA" w:eastAsia="en-US"/>
              </w:rPr>
              <w:t xml:space="preserve">грн. з ПДВ.   </w:t>
            </w:r>
          </w:p>
        </w:tc>
      </w:tr>
      <w:tr w:rsidR="00D509E6" w:rsidRPr="00AB710C" w14:paraId="4C0ACF64" w14:textId="77777777" w:rsidTr="00F7434B">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C1EE3D" w14:textId="19D2BB78" w:rsidR="00D509E6" w:rsidRPr="00AB710C" w:rsidRDefault="005B44FF"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F7434B">
        <w:trPr>
          <w:trHeight w:val="44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5C31082" w14:textId="63E0BCA1" w:rsidR="00D509E6" w:rsidRPr="00AB710C" w:rsidRDefault="005B44FF"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6237" w:type="dxa"/>
            <w:tcBorders>
              <w:top w:val="outset" w:sz="6" w:space="0" w:color="auto"/>
              <w:left w:val="outset" w:sz="6" w:space="0" w:color="auto"/>
              <w:bottom w:val="outset" w:sz="6" w:space="0" w:color="auto"/>
              <w:right w:val="outset" w:sz="6" w:space="0" w:color="auto"/>
            </w:tcBorders>
            <w:hideMark/>
          </w:tcPr>
          <w:p w14:paraId="375D3B9F" w14:textId="3CA7A63E" w:rsidR="00D509E6" w:rsidRPr="00AB710C" w:rsidRDefault="00F7434B" w:rsidP="00F7434B">
            <w:pPr>
              <w:rPr>
                <w:color w:val="0000FF"/>
                <w:lang w:val="uk-UA" w:eastAsia="en-US"/>
              </w:rPr>
            </w:pPr>
            <w:r>
              <w:rPr>
                <w:rStyle w:val="rvts0"/>
                <w:lang w:val="uk-UA" w:eastAsia="en-US"/>
              </w:rPr>
              <w:t>10</w:t>
            </w:r>
            <w:r w:rsidR="004B3FFC" w:rsidRPr="00AB710C">
              <w:rPr>
                <w:rStyle w:val="rvts0"/>
                <w:lang w:val="uk-UA" w:eastAsia="en-US"/>
              </w:rPr>
              <w:t>.02</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F7434B">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37CDB550" w14:textId="12F7473F" w:rsidR="00D509E6" w:rsidRPr="00AB710C" w:rsidRDefault="005B44FF"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F7434B">
        <w:trPr>
          <w:trHeight w:val="51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89A6C95" w14:textId="2806F4D9" w:rsidR="00D509E6" w:rsidRPr="00AB710C" w:rsidRDefault="005B44FF"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6237" w:type="dxa"/>
            <w:tcBorders>
              <w:top w:val="outset" w:sz="6" w:space="0" w:color="auto"/>
              <w:left w:val="outset" w:sz="6" w:space="0" w:color="auto"/>
              <w:bottom w:val="outset" w:sz="6" w:space="0" w:color="auto"/>
              <w:right w:val="outset" w:sz="6" w:space="0" w:color="auto"/>
            </w:tcBorders>
            <w:hideMark/>
          </w:tcPr>
          <w:p w14:paraId="7A9AB3E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b/>
                <w:sz w:val="24"/>
                <w:szCs w:val="24"/>
                <w:lang w:val="uk-UA"/>
              </w:rPr>
              <w:t>Пропозиція супроводжується забезпеченням пропозиції</w:t>
            </w:r>
            <w:r w:rsidRPr="00AB710C">
              <w:rPr>
                <w:rStyle w:val="rvts0"/>
                <w:rFonts w:ascii="Times New Roman" w:hAnsi="Times New Roman"/>
                <w:sz w:val="24"/>
                <w:szCs w:val="24"/>
                <w:lang w:val="uk-UA"/>
              </w:rPr>
              <w:t>:</w:t>
            </w:r>
          </w:p>
          <w:p w14:paraId="1BF390F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вид забезпечення пропозиції: </w:t>
            </w:r>
            <w:r w:rsidRPr="00AB710C">
              <w:rPr>
                <w:rStyle w:val="rvts0"/>
                <w:rFonts w:ascii="Times New Roman" w:hAnsi="Times New Roman"/>
                <w:b/>
                <w:sz w:val="24"/>
                <w:szCs w:val="24"/>
                <w:lang w:val="uk-UA"/>
              </w:rPr>
              <w:t>електронна банківська гарантія</w:t>
            </w:r>
            <w:r w:rsidRPr="00AB710C">
              <w:rPr>
                <w:rStyle w:val="rvts0"/>
                <w:rFonts w:ascii="Times New Roman" w:hAnsi="Times New Roman"/>
                <w:sz w:val="24"/>
                <w:szCs w:val="24"/>
                <w:lang w:val="uk-UA"/>
              </w:rPr>
              <w:t>;</w:t>
            </w:r>
          </w:p>
          <w:p w14:paraId="6A0C04B4" w14:textId="65CAE800" w:rsidR="00595880" w:rsidRPr="00AB710C" w:rsidRDefault="00595880" w:rsidP="00595880">
            <w:pPr>
              <w:pStyle w:val="HTML"/>
              <w:jc w:val="both"/>
              <w:rPr>
                <w:rStyle w:val="rvts0"/>
                <w:rFonts w:ascii="Times New Roman" w:hAnsi="Times New Roman"/>
                <w:color w:val="FF0000"/>
                <w:sz w:val="24"/>
                <w:szCs w:val="24"/>
                <w:highlight w:val="yellow"/>
                <w:lang w:val="uk-UA"/>
              </w:rPr>
            </w:pPr>
            <w:r w:rsidRPr="00AB710C">
              <w:rPr>
                <w:rStyle w:val="rvts0"/>
                <w:rFonts w:ascii="Times New Roman" w:hAnsi="Times New Roman"/>
                <w:sz w:val="24"/>
                <w:szCs w:val="24"/>
                <w:lang w:val="uk-UA"/>
              </w:rPr>
              <w:t xml:space="preserve">розмір забезпечення пропозиції: </w:t>
            </w:r>
            <w:r w:rsidR="00DE12EC">
              <w:rPr>
                <w:rStyle w:val="rvts0"/>
                <w:rFonts w:ascii="Times New Roman" w:hAnsi="Times New Roman"/>
                <w:b/>
                <w:sz w:val="24"/>
                <w:szCs w:val="24"/>
                <w:lang w:val="uk-UA"/>
              </w:rPr>
              <w:t>27</w:t>
            </w:r>
            <w:r w:rsidR="006D1DFD">
              <w:rPr>
                <w:rStyle w:val="rvts0"/>
                <w:rFonts w:ascii="Times New Roman" w:hAnsi="Times New Roman"/>
                <w:b/>
                <w:sz w:val="24"/>
                <w:szCs w:val="24"/>
                <w:lang w:val="uk-UA"/>
              </w:rPr>
              <w:t>000</w:t>
            </w:r>
            <w:r w:rsidRPr="00AB710C">
              <w:rPr>
                <w:rStyle w:val="rvts0"/>
                <w:rFonts w:ascii="Times New Roman" w:hAnsi="Times New Roman"/>
                <w:b/>
                <w:sz w:val="24"/>
                <w:szCs w:val="24"/>
                <w:lang w:val="uk-UA"/>
              </w:rPr>
              <w:t>,00 грн.</w:t>
            </w:r>
          </w:p>
          <w:p w14:paraId="6A1D4C19"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строк дії забезпечення пропозиції: не менше ніж </w:t>
            </w:r>
            <w:r w:rsidRPr="00AB710C">
              <w:rPr>
                <w:rStyle w:val="rvts0"/>
                <w:rFonts w:ascii="Times New Roman" w:hAnsi="Times New Roman"/>
                <w:color w:val="000000" w:themeColor="text1"/>
                <w:sz w:val="24"/>
                <w:szCs w:val="24"/>
                <w:lang w:val="uk-UA"/>
              </w:rPr>
              <w:t>90</w:t>
            </w:r>
            <w:r w:rsidRPr="00AB710C">
              <w:rPr>
                <w:rStyle w:val="rvts0"/>
                <w:rFonts w:ascii="Times New Roman" w:hAnsi="Times New Roman"/>
                <w:sz w:val="24"/>
                <w:szCs w:val="24"/>
                <w:lang w:val="uk-UA"/>
              </w:rPr>
              <w:t xml:space="preserve"> днів з дати розкриття пропозицій.</w:t>
            </w:r>
          </w:p>
          <w:p w14:paraId="00FD4BB4" w14:textId="77777777" w:rsidR="00595880" w:rsidRPr="00AB710C" w:rsidRDefault="00595880" w:rsidP="00595880">
            <w:pPr>
              <w:widowControl w:val="0"/>
              <w:contextualSpacing/>
              <w:jc w:val="both"/>
            </w:pPr>
            <w:r w:rsidRPr="00AB710C">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AB710C">
              <w:t>КЕП уповноваженої особи банку-гаранта та повинен дозволяти перевірку такого підпису.</w:t>
            </w:r>
          </w:p>
          <w:p w14:paraId="104DEC18" w14:textId="77777777" w:rsidR="00595880" w:rsidRPr="00AB710C" w:rsidRDefault="00595880" w:rsidP="00595880">
            <w:pPr>
              <w:widowControl w:val="0"/>
              <w:jc w:val="both"/>
            </w:pPr>
            <w:r w:rsidRPr="00AB710C">
              <w:t>Банківська гарантія може надаватись: разом з файлом «</w:t>
            </w:r>
            <w:r w:rsidRPr="00AB710C">
              <w:rPr>
                <w:lang w:val="en-US"/>
              </w:rPr>
              <w:t>p</w:t>
            </w:r>
            <w:r w:rsidRPr="00AB710C">
              <w:t>7</w:t>
            </w:r>
            <w:r w:rsidRPr="00AB710C">
              <w:rPr>
                <w:lang w:val="en-US"/>
              </w:rPr>
              <w:t>s</w:t>
            </w:r>
            <w:r w:rsidRPr="00AB710C">
              <w:t>» (із накладенням КЕП) або у вигляді файлу в форматі, придатному для перевірки достовірності видачі банківської гарантії банком та накладення КЕП уповноваженої посадової особи банку-гаранта.</w:t>
            </w:r>
          </w:p>
          <w:p w14:paraId="186714F0"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AB710C" w:rsidRDefault="00595880" w:rsidP="00595880">
            <w:pPr>
              <w:widowControl w:val="0"/>
              <w:contextualSpacing/>
              <w:jc w:val="both"/>
              <w:rPr>
                <w:lang w:val="uk-UA"/>
              </w:rPr>
            </w:pPr>
            <w:r w:rsidRPr="00AB710C">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AB710C">
              <w:t> </w:t>
            </w:r>
            <w:r w:rsidRPr="00AB710C">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AB710C">
              <w:t> </w:t>
            </w:r>
            <w:r w:rsidRPr="00AB710C">
              <w:rPr>
                <w:lang w:val="uk-UA"/>
              </w:rPr>
              <w:t>8 від 09.02.2017, №</w:t>
            </w:r>
            <w:r w:rsidRPr="00AB710C">
              <w:t> </w:t>
            </w:r>
            <w:r w:rsidRPr="00AB710C">
              <w:rPr>
                <w:lang w:val="uk-UA"/>
              </w:rPr>
              <w:t xml:space="preserve">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w:t>
            </w:r>
            <w:r w:rsidRPr="00AB710C">
              <w:rPr>
                <w:lang w:val="uk-UA"/>
              </w:rPr>
              <w:lastRenderedPageBreak/>
              <w:t>Вимог до забезпечення тендерної пропозиції/пропозицій.</w:t>
            </w:r>
          </w:p>
          <w:p w14:paraId="639073B1" w14:textId="77777777" w:rsidR="00595880" w:rsidRPr="00AB710C" w:rsidRDefault="00595880" w:rsidP="00595880">
            <w:pPr>
              <w:pStyle w:val="HTML"/>
              <w:jc w:val="both"/>
              <w:rPr>
                <w:rStyle w:val="rvts0"/>
                <w:rFonts w:ascii="Times New Roman" w:hAnsi="Times New Roman"/>
                <w:sz w:val="24"/>
                <w:szCs w:val="24"/>
                <w:lang w:val="uk-UA"/>
              </w:rPr>
            </w:pPr>
          </w:p>
          <w:p w14:paraId="37B3354D"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поточний рахунок IBAN:</w:t>
            </w:r>
          </w:p>
          <w:p w14:paraId="273C097A" w14:textId="77777777" w:rsidR="00595880" w:rsidRPr="00AB710C" w:rsidRDefault="00595880" w:rsidP="00595880">
            <w:pPr>
              <w:pStyle w:val="HTML"/>
              <w:jc w:val="both"/>
              <w:rPr>
                <w:rStyle w:val="rvts0"/>
                <w:rFonts w:ascii="Times New Roman" w:hAnsi="Times New Roman"/>
                <w:sz w:val="24"/>
                <w:szCs w:val="24"/>
              </w:rPr>
            </w:pP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en-US"/>
              </w:rPr>
              <w:t>UA</w:t>
            </w:r>
            <w:r w:rsidRPr="00AB710C">
              <w:rPr>
                <w:rStyle w:val="rvts0"/>
                <w:rFonts w:ascii="Times New Roman" w:hAnsi="Times New Roman"/>
                <w:sz w:val="24"/>
                <w:szCs w:val="24"/>
              </w:rPr>
              <w:t>153005280000026007455062892</w:t>
            </w:r>
          </w:p>
          <w:p w14:paraId="454455A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у </w:t>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t>АТ «ОТП Банк» МФО 300528</w:t>
            </w:r>
          </w:p>
          <w:p w14:paraId="6995BFD4" w14:textId="77777777" w:rsidR="00595880" w:rsidRPr="00AB710C" w:rsidRDefault="00595880" w:rsidP="00595880">
            <w:pPr>
              <w:pStyle w:val="HTML"/>
              <w:jc w:val="both"/>
              <w:rPr>
                <w:rFonts w:ascii="Times New Roman" w:hAnsi="Times New Roman"/>
                <w:sz w:val="24"/>
                <w:szCs w:val="24"/>
                <w:lang w:val="uk-UA"/>
              </w:rPr>
            </w:pPr>
          </w:p>
          <w:p w14:paraId="30ED06A7" w14:textId="77777777" w:rsidR="00595880" w:rsidRPr="00AB710C" w:rsidRDefault="00595880" w:rsidP="00595880">
            <w:pPr>
              <w:widowControl w:val="0"/>
              <w:contextualSpacing/>
              <w:jc w:val="both"/>
            </w:pPr>
            <w:r w:rsidRPr="00AB710C">
              <w:t>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14:paraId="1024F7F5"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AB710C" w:rsidRDefault="00595880" w:rsidP="00595880">
            <w:pPr>
              <w:widowControl w:val="0"/>
              <w:contextualSpacing/>
              <w:jc w:val="both"/>
            </w:pPr>
            <w:r w:rsidRPr="00AB710C">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AB710C" w:rsidRDefault="00595880" w:rsidP="00595880">
            <w:pPr>
              <w:pStyle w:val="HTML"/>
              <w:jc w:val="both"/>
              <w:rPr>
                <w:rFonts w:ascii="Times New Roman" w:hAnsi="Times New Roman"/>
                <w:sz w:val="24"/>
                <w:szCs w:val="24"/>
                <w:lang w:val="uk-UA"/>
              </w:rPr>
            </w:pPr>
          </w:p>
          <w:p w14:paraId="2D8E3AC4" w14:textId="77777777" w:rsidR="00595880" w:rsidRPr="00AB710C" w:rsidRDefault="00595880" w:rsidP="00595880">
            <w:pPr>
              <w:pStyle w:val="HTML"/>
              <w:jc w:val="both"/>
              <w:rPr>
                <w:rStyle w:val="rvts0"/>
                <w:rFonts w:ascii="Times New Roman" w:eastAsia="Symbol" w:hAnsi="Times New Roman"/>
                <w:sz w:val="24"/>
                <w:szCs w:val="24"/>
              </w:rPr>
            </w:pPr>
            <w:r w:rsidRPr="00AB710C">
              <w:rPr>
                <w:rFonts w:ascii="Times New Roman" w:hAnsi="Times New Roman"/>
                <w:sz w:val="24"/>
                <w:szCs w:val="24"/>
              </w:rPr>
              <w:t>З</w:t>
            </w:r>
            <w:r w:rsidRPr="00AB710C">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AB710C" w:rsidRDefault="00595880" w:rsidP="00595880">
            <w:pPr>
              <w:pStyle w:val="rvps2"/>
              <w:spacing w:before="0" w:beforeAutospacing="0" w:after="0" w:afterAutospacing="0"/>
              <w:jc w:val="both"/>
              <w:rPr>
                <w:lang w:val="uk-UA"/>
              </w:rPr>
            </w:pPr>
            <w:r w:rsidRPr="00AB710C">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AB710C" w:rsidRDefault="00595880" w:rsidP="00595880">
            <w:pPr>
              <w:pStyle w:val="rvps2"/>
              <w:spacing w:before="0" w:beforeAutospacing="0" w:after="0" w:afterAutospacing="0"/>
              <w:jc w:val="both"/>
              <w:rPr>
                <w:lang w:val="uk-UA"/>
              </w:rPr>
            </w:pPr>
            <w:r w:rsidRPr="00AB710C">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AB710C" w:rsidRDefault="00595880" w:rsidP="00595880">
            <w:pPr>
              <w:pStyle w:val="rvps2"/>
              <w:spacing w:before="0" w:beforeAutospacing="0" w:after="0" w:afterAutospacing="0"/>
              <w:jc w:val="both"/>
              <w:rPr>
                <w:color w:val="333333"/>
                <w:shd w:val="clear" w:color="auto" w:fill="FFFFFF"/>
                <w:lang w:val="uk-UA"/>
              </w:rPr>
            </w:pPr>
            <w:r w:rsidRPr="00AB710C">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AB710C" w:rsidRDefault="00595880" w:rsidP="00595880">
            <w:pPr>
              <w:pStyle w:val="rvps2"/>
              <w:spacing w:before="0" w:beforeAutospacing="0" w:after="0" w:afterAutospacing="0"/>
              <w:jc w:val="both"/>
              <w:rPr>
                <w:lang w:val="uk-UA"/>
              </w:rPr>
            </w:pPr>
          </w:p>
          <w:p w14:paraId="5A7A2F0D" w14:textId="77777777" w:rsidR="00595880" w:rsidRPr="00AB710C" w:rsidRDefault="00595880" w:rsidP="00595880">
            <w:pPr>
              <w:pStyle w:val="a4"/>
              <w:spacing w:after="0"/>
              <w:jc w:val="both"/>
              <w:rPr>
                <w:rStyle w:val="rvts0"/>
              </w:rPr>
            </w:pPr>
            <w:r w:rsidRPr="00AB710C">
              <w:rPr>
                <w:rStyle w:val="rvts0"/>
              </w:rPr>
              <w:t>Забезпечення пропозиції повертається учаснику протягом п'яти банківських днів з дня настання однієї з підстав:</w:t>
            </w:r>
          </w:p>
          <w:p w14:paraId="1C6BFD63" w14:textId="77777777" w:rsidR="00595880" w:rsidRPr="00AB710C" w:rsidRDefault="00595880" w:rsidP="00595880">
            <w:pPr>
              <w:pStyle w:val="a4"/>
              <w:spacing w:after="0"/>
              <w:jc w:val="both"/>
              <w:rPr>
                <w:rStyle w:val="rvts0"/>
              </w:rPr>
            </w:pPr>
            <w:r w:rsidRPr="00AB710C">
              <w:rPr>
                <w:rStyle w:val="rvts0"/>
              </w:rPr>
              <w:t xml:space="preserve"> </w:t>
            </w:r>
            <w:r w:rsidRPr="00AB710C">
              <w:t xml:space="preserve">- </w:t>
            </w:r>
            <w:r w:rsidRPr="00AB710C">
              <w:rPr>
                <w:rStyle w:val="rvts0"/>
              </w:rPr>
              <w:t xml:space="preserve">закінчення строку дії забезпечення пропозиції, зазначеного в оголошенні про проведення </w:t>
            </w:r>
            <w:r w:rsidRPr="00AB710C">
              <w:t>процедури відкритих торгів з особливостями</w:t>
            </w:r>
            <w:r w:rsidRPr="00AB710C">
              <w:rPr>
                <w:rStyle w:val="rvts0"/>
              </w:rPr>
              <w:t>;</w:t>
            </w:r>
          </w:p>
          <w:p w14:paraId="75E47582" w14:textId="77777777" w:rsidR="00595880" w:rsidRPr="00AB710C" w:rsidRDefault="00595880" w:rsidP="00595880">
            <w:pPr>
              <w:pStyle w:val="a4"/>
              <w:spacing w:after="0"/>
              <w:jc w:val="both"/>
              <w:rPr>
                <w:rStyle w:val="rvts0"/>
              </w:rPr>
            </w:pPr>
            <w:r w:rsidRPr="00AB710C">
              <w:rPr>
                <w:rStyle w:val="rvts0"/>
              </w:rPr>
              <w:t xml:space="preserve"> - укладення договору про закупівлю з учасником, який став переможцем закупівлі;</w:t>
            </w:r>
          </w:p>
          <w:p w14:paraId="587D056B" w14:textId="77777777" w:rsidR="00595880" w:rsidRPr="00AB710C" w:rsidRDefault="00595880" w:rsidP="00595880">
            <w:pPr>
              <w:pStyle w:val="a4"/>
              <w:spacing w:after="0"/>
              <w:jc w:val="both"/>
              <w:rPr>
                <w:rStyle w:val="rvts0"/>
              </w:rPr>
            </w:pPr>
            <w:r w:rsidRPr="00AB710C">
              <w:rPr>
                <w:rStyle w:val="rvts0"/>
              </w:rPr>
              <w:t xml:space="preserve"> - відкликання пропозиції до закінчення строку її подання; </w:t>
            </w:r>
          </w:p>
          <w:p w14:paraId="47446566" w14:textId="03281DD9" w:rsidR="00D509E6" w:rsidRPr="00AB710C"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AB710C">
              <w:rPr>
                <w:rStyle w:val="rvts0"/>
              </w:rPr>
              <w:t>- закінчення процедури закупівлі в разі неукладення договору про закупівлю із жодним з учасників, які подали пропозиції.</w:t>
            </w:r>
            <w:bookmarkStart w:id="1" w:name="n442"/>
            <w:bookmarkStart w:id="2" w:name="n443"/>
            <w:bookmarkEnd w:id="1"/>
            <w:bookmarkEnd w:id="2"/>
          </w:p>
        </w:tc>
      </w:tr>
      <w:tr w:rsidR="00D509E6" w:rsidRPr="00AB710C" w14:paraId="3C7E48BC" w14:textId="77777777" w:rsidTr="00F7434B">
        <w:trPr>
          <w:trHeight w:val="911"/>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6E089D42" w14:textId="4E389FCF" w:rsidR="00D509E6" w:rsidRPr="00AB710C" w:rsidRDefault="005B44FF" w:rsidP="002611A1">
            <w:pPr>
              <w:tabs>
                <w:tab w:val="left" w:pos="336"/>
                <w:tab w:val="left" w:pos="426"/>
              </w:tabs>
              <w:spacing w:after="150"/>
              <w:jc w:val="both"/>
              <w:rPr>
                <w:b/>
                <w:lang w:eastAsia="en-US"/>
              </w:rPr>
            </w:pPr>
            <w:r>
              <w:rPr>
                <w:rStyle w:val="ad"/>
                <w:b w:val="0"/>
                <w:lang w:val="uk-UA" w:eastAsia="en-US"/>
              </w:rPr>
              <w:lastRenderedPageBreak/>
              <w:t>13</w:t>
            </w:r>
            <w:r w:rsidR="00D509E6" w:rsidRPr="00AB710C">
              <w:rPr>
                <w:rStyle w:val="ad"/>
                <w:b w:val="0"/>
                <w:lang w:val="uk-UA" w:eastAsia="en-US"/>
              </w:rPr>
              <w:t>. Розмір та умови надання забезпечення виконання договору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F7434B">
        <w:trPr>
          <w:trHeight w:val="145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3B91E2D" w14:textId="55691162" w:rsidR="00D509E6" w:rsidRPr="00AB710C" w:rsidRDefault="005B44F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237"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F7434B">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130BF19" w14:textId="5AB95C23" w:rsidR="00D509E6" w:rsidRPr="00AB710C" w:rsidRDefault="005B44F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4A2CB537" w14:textId="77777777" w:rsidR="00DE12EC" w:rsidRPr="00DE12EC" w:rsidRDefault="00D165CE" w:rsidP="00DE12EC">
            <w:pPr>
              <w:spacing w:line="240" w:lineRule="atLeast"/>
              <w:contextualSpacing/>
              <w:jc w:val="both"/>
              <w:rPr>
                <w:lang w:val="uk-UA"/>
              </w:rPr>
            </w:pPr>
            <w:r w:rsidRPr="00F96C6F">
              <w:rPr>
                <w:color w:val="000000"/>
                <w:lang w:val="uk-UA"/>
              </w:rPr>
              <w:t xml:space="preserve">6. </w:t>
            </w:r>
            <w:r w:rsidR="00DE12EC" w:rsidRPr="00DE12EC">
              <w:rPr>
                <w:lang w:val="uk-UA"/>
              </w:rPr>
              <w:t>Не менше 2-ох копій договорів про надання аналогічних послуг, що підтверджують факт надання таких послуг та наявність досвіду надання аналогічних послуг  в енергетичному секторі України компаніям – постачальникам електричної енергії (не менше двох років);</w:t>
            </w:r>
          </w:p>
          <w:p w14:paraId="5EDDAC3C" w14:textId="27B029C5" w:rsidR="00DE12EC" w:rsidRDefault="00DE12EC" w:rsidP="00DE12EC">
            <w:pPr>
              <w:pStyle w:val="aa"/>
              <w:numPr>
                <w:ilvl w:val="0"/>
                <w:numId w:val="1"/>
              </w:numPr>
              <w:spacing w:line="240" w:lineRule="atLeast"/>
              <w:contextualSpacing/>
              <w:jc w:val="both"/>
              <w:rPr>
                <w:lang w:val="uk-UA"/>
              </w:rPr>
            </w:pPr>
            <w:r w:rsidRPr="00DE12EC">
              <w:rPr>
                <w:lang w:val="uk-UA"/>
              </w:rPr>
              <w:t>Довідка - гарантійний лист про забезпечення виконання Технічних вимог.</w:t>
            </w:r>
          </w:p>
          <w:p w14:paraId="17803549" w14:textId="77777777" w:rsidR="00DE12EC" w:rsidRPr="00DE12EC" w:rsidRDefault="00DE12EC" w:rsidP="00DE12EC">
            <w:pPr>
              <w:pStyle w:val="aa"/>
              <w:spacing w:line="240" w:lineRule="atLeast"/>
              <w:ind w:left="384"/>
              <w:contextualSpacing/>
              <w:jc w:val="both"/>
              <w:rPr>
                <w:lang w:val="uk-UA"/>
              </w:rPr>
            </w:pPr>
          </w:p>
          <w:p w14:paraId="21D07916" w14:textId="6A5496DE" w:rsidR="000E1A10" w:rsidRPr="00AB710C" w:rsidRDefault="000E1A10" w:rsidP="00DE12EC">
            <w:pPr>
              <w:pStyle w:val="a9"/>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w:t>
            </w:r>
            <w:r w:rsidRPr="00AB710C">
              <w:rPr>
                <w:rFonts w:ascii="Times New Roman" w:eastAsia="Times New Roman" w:hAnsi="Times New Roman"/>
                <w:sz w:val="24"/>
                <w:lang w:val="uk-UA"/>
              </w:rPr>
              <w:lastRenderedPageBreak/>
              <w:t xml:space="preserve">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CC4807">
            <w:pPr>
              <w:pStyle w:val="a9"/>
              <w:numPr>
                <w:ilvl w:val="0"/>
                <w:numId w:val="3"/>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77777777" w:rsidR="00170F97" w:rsidRPr="00AB710C" w:rsidRDefault="000E1A10" w:rsidP="000E1A10">
            <w:pPr>
              <w:shd w:val="clear" w:color="auto" w:fill="FFFFFF"/>
              <w:jc w:val="both"/>
              <w:textAlignment w:val="baseline"/>
              <w:rPr>
                <w:lang w:val="uk-UA"/>
              </w:rPr>
            </w:pPr>
            <w:r w:rsidRPr="00AB710C">
              <w:t>-</w:t>
            </w:r>
            <w:r w:rsidRPr="00AB710C">
              <w:tab/>
            </w:r>
            <w:r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AB710C">
              <w:rPr>
                <w:color w:val="000000"/>
                <w:lang w:val="uk-UA"/>
              </w:rPr>
              <w:t xml:space="preserve"> </w:t>
            </w:r>
            <w:r w:rsidRPr="00AB710C">
              <w:rPr>
                <w:color w:val="000000"/>
              </w:rPr>
              <w:t xml:space="preserve">довідка про те, що учасник процедури закупівлі, що перебуває в обставинах, зазначених у абзаці </w:t>
            </w:r>
            <w:r w:rsidRPr="00AB710C">
              <w:t>чотирнадцятому пункту 4</w:t>
            </w:r>
            <w:r w:rsidRPr="00AB710C">
              <w:rPr>
                <w:lang w:val="uk-UA"/>
              </w:rPr>
              <w:t>7</w:t>
            </w:r>
            <w:r w:rsidRPr="00AB710C">
              <w:t xml:space="preserve"> Особливостей</w:t>
            </w:r>
            <w:r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3E4B282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AB710C">
              <w:rPr>
                <w:lang w:eastAsia="uk-UA"/>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w:t>
            </w:r>
            <w:r w:rsidRPr="00AB710C">
              <w:rPr>
                <w:lang w:eastAsia="uk-UA"/>
              </w:rPr>
              <w:lastRenderedPageBreak/>
              <w:t>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CC4807">
            <w:pPr>
              <w:pStyle w:val="aa"/>
              <w:numPr>
                <w:ilvl w:val="0"/>
                <w:numId w:val="4"/>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F89B776" w14:textId="77777777" w:rsidR="000137FE" w:rsidRPr="00AB710C" w:rsidRDefault="000137FE" w:rsidP="00CC4807">
            <w:pPr>
              <w:pStyle w:val="aa"/>
              <w:numPr>
                <w:ilvl w:val="0"/>
                <w:numId w:val="4"/>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AB710C">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Учасників, які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AB710C">
              <w:lastRenderedPageBreak/>
              <w:t>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інформації про необхідні технічні,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інших документів, необхідність подання яких у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w:t>
            </w:r>
            <w:r w:rsidRPr="00AB710C">
              <w:rPr>
                <w:lang w:val="uk-UA"/>
              </w:rPr>
              <w:lastRenderedPageBreak/>
              <w:t xml:space="preserve">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 xml:space="preserve">Відкриті торги можуть бути відмінені частково (за </w:t>
            </w:r>
            <w:r w:rsidRPr="00AB710C">
              <w:rPr>
                <w:color w:val="000000"/>
                <w:lang w:eastAsia="en-US"/>
              </w:rPr>
              <w:lastRenderedPageBreak/>
              <w:t>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482C6F23" w14:textId="1DF2BCFD" w:rsidR="008010F6" w:rsidRPr="00DE12EC" w:rsidRDefault="00D27038" w:rsidP="00DE12EC">
      <w:pPr>
        <w:autoSpaceDE w:val="0"/>
        <w:autoSpaceDN w:val="0"/>
        <w:adjustRightInd w:val="0"/>
        <w:spacing w:after="120"/>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 xml:space="preserve">на </w:t>
      </w:r>
      <w:r w:rsidR="00DE12EC" w:rsidRPr="003F0E44">
        <w:rPr>
          <w:b/>
          <w:lang w:val="uk-UA"/>
        </w:rPr>
        <w:t xml:space="preserve">Послуги із прогнозування обсягів </w:t>
      </w:r>
      <w:r w:rsidR="00756BAB" w:rsidRPr="003F0E44">
        <w:rPr>
          <w:b/>
          <w:lang w:val="uk-UA"/>
        </w:rPr>
        <w:t>споживання електричної енергії</w:t>
      </w:r>
      <w:r w:rsidR="00DE12EC" w:rsidRPr="003F0E44">
        <w:rPr>
          <w:lang w:val="uk-UA"/>
        </w:rPr>
        <w:t>)</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AB710C" w:rsidRDefault="008E36CB">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Pr="00AB710C">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604BDF2" w14:textId="77777777" w:rsidR="008E36CB" w:rsidRPr="00AB710C" w:rsidRDefault="008E36CB" w:rsidP="008E36CB">
      <w:pPr>
        <w:spacing w:after="160" w:line="256" w:lineRule="auto"/>
        <w:rPr>
          <w:b/>
          <w:lang w:val="uk-UA"/>
        </w:rPr>
      </w:pPr>
      <w:r w:rsidRPr="00AB710C">
        <w:rPr>
          <w:b/>
          <w:lang w:val="uk-UA"/>
        </w:rPr>
        <w:br w:type="page"/>
      </w:r>
    </w:p>
    <w:bookmarkEnd w:id="3"/>
    <w:p w14:paraId="7EF78E8E" w14:textId="77777777" w:rsidR="00D27038" w:rsidRPr="00AB710C" w:rsidRDefault="00D27038" w:rsidP="00D27038">
      <w:pPr>
        <w:ind w:left="6804" w:firstLine="5"/>
        <w:jc w:val="right"/>
        <w:rPr>
          <w:b/>
          <w:bCs/>
          <w:lang w:val="uk-UA"/>
        </w:rPr>
      </w:pPr>
      <w:r w:rsidRPr="00AB710C">
        <w:rPr>
          <w:b/>
          <w:bCs/>
          <w:lang w:val="uk-UA"/>
        </w:rPr>
        <w:lastRenderedPageBreak/>
        <w:t>ДОДАТОК 2</w:t>
      </w:r>
    </w:p>
    <w:p w14:paraId="7A24CCC7" w14:textId="77777777" w:rsidR="00D27038" w:rsidRPr="00AB710C" w:rsidRDefault="00D27038" w:rsidP="00D27038">
      <w:pPr>
        <w:ind w:left="6804"/>
        <w:jc w:val="right"/>
        <w:rPr>
          <w:b/>
          <w:bCs/>
          <w:lang w:val="uk-UA"/>
        </w:rPr>
      </w:pPr>
      <w:r w:rsidRPr="00AB710C">
        <w:rPr>
          <w:b/>
          <w:bCs/>
          <w:lang w:val="uk-UA"/>
        </w:rPr>
        <w:t>до документації</w:t>
      </w:r>
    </w:p>
    <w:p w14:paraId="70D0DD69" w14:textId="77777777" w:rsidR="00D27038" w:rsidRPr="00AB710C" w:rsidRDefault="00D27038" w:rsidP="00D27038">
      <w:pPr>
        <w:pStyle w:val="a9"/>
        <w:rPr>
          <w:rFonts w:ascii="Times New Roman" w:hAnsi="Times New Roman"/>
          <w:sz w:val="16"/>
          <w:szCs w:val="24"/>
          <w:lang w:val="uk-UA"/>
        </w:rPr>
      </w:pPr>
    </w:p>
    <w:p w14:paraId="06B87A33" w14:textId="77777777" w:rsidR="00DE12EC" w:rsidRDefault="00DE12EC" w:rsidP="00DE12EC">
      <w:pPr>
        <w:pStyle w:val="a9"/>
        <w:rPr>
          <w:rFonts w:ascii="Times New Roman" w:hAnsi="Times New Roman"/>
          <w:sz w:val="16"/>
          <w:szCs w:val="24"/>
        </w:rPr>
      </w:pPr>
    </w:p>
    <w:p w14:paraId="6E34B205" w14:textId="77777777" w:rsidR="00DE12EC" w:rsidRPr="006E1197" w:rsidRDefault="00DE12EC" w:rsidP="00DE12EC">
      <w:pPr>
        <w:jc w:val="center"/>
        <w:rPr>
          <w:b/>
          <w:lang w:val="uk-UA"/>
        </w:rPr>
      </w:pPr>
      <w:r w:rsidRPr="006E1197">
        <w:rPr>
          <w:b/>
          <w:lang w:val="uk-UA"/>
        </w:rPr>
        <w:t>ТЕХНІЧНІ ВИМОГИ</w:t>
      </w:r>
    </w:p>
    <w:p w14:paraId="769E4C32" w14:textId="77777777" w:rsidR="00DE12EC" w:rsidRPr="006E1197" w:rsidRDefault="00DE12EC" w:rsidP="00DE12EC">
      <w:pPr>
        <w:jc w:val="center"/>
        <w:rPr>
          <w:b/>
          <w:lang w:val="uk-UA"/>
        </w:rPr>
      </w:pPr>
      <w:r w:rsidRPr="006E1197">
        <w:rPr>
          <w:b/>
          <w:lang w:val="uk-UA"/>
        </w:rPr>
        <w:t>до предмету закупівлі</w:t>
      </w:r>
    </w:p>
    <w:p w14:paraId="31DE0709" w14:textId="77777777" w:rsidR="00DE12EC" w:rsidRPr="006E1197" w:rsidRDefault="00DE12EC" w:rsidP="00DE12EC">
      <w:pPr>
        <w:jc w:val="both"/>
        <w:rPr>
          <w:b/>
          <w:lang w:val="uk-UA"/>
        </w:rPr>
      </w:pPr>
    </w:p>
    <w:p w14:paraId="2DC0BB43" w14:textId="77777777" w:rsidR="00DE12EC" w:rsidRPr="006E1197" w:rsidRDefault="00DE12EC" w:rsidP="00DE12EC">
      <w:pPr>
        <w:spacing w:line="240" w:lineRule="atLeast"/>
        <w:ind w:left="284"/>
        <w:contextualSpacing/>
        <w:jc w:val="both"/>
        <w:rPr>
          <w:b/>
          <w:lang w:val="uk-UA"/>
        </w:rPr>
      </w:pPr>
      <w:r w:rsidRPr="006E1197">
        <w:rPr>
          <w:b/>
          <w:lang w:val="uk-UA"/>
        </w:rPr>
        <w:t>Послуги прогнозування обсягів споживання електричної енергії :</w:t>
      </w:r>
    </w:p>
    <w:p w14:paraId="55DCCEC2" w14:textId="77777777" w:rsidR="00DE12EC" w:rsidRPr="006E1197" w:rsidRDefault="00DE12EC" w:rsidP="00DE12EC">
      <w:pPr>
        <w:spacing w:line="240" w:lineRule="atLeast"/>
        <w:ind w:left="284"/>
        <w:contextualSpacing/>
        <w:jc w:val="both"/>
        <w:rPr>
          <w:b/>
          <w:lang w:val="uk-UA"/>
        </w:rPr>
      </w:pPr>
    </w:p>
    <w:p w14:paraId="12F4C504" w14:textId="77777777" w:rsidR="00DE12EC" w:rsidRPr="006E1197" w:rsidRDefault="00DE12EC" w:rsidP="00DE12EC">
      <w:pPr>
        <w:spacing w:line="240" w:lineRule="atLeast"/>
        <w:ind w:left="284"/>
        <w:contextualSpacing/>
        <w:jc w:val="both"/>
        <w:rPr>
          <w:b/>
          <w:lang w:val="uk-UA"/>
        </w:rPr>
      </w:pPr>
      <w:r w:rsidRPr="006E1197">
        <w:rPr>
          <w:b/>
          <w:lang w:val="uk-UA"/>
        </w:rPr>
        <w:t>Вимоги до послуги:</w:t>
      </w:r>
    </w:p>
    <w:p w14:paraId="5336EA71" w14:textId="6DD0AA56" w:rsidR="00DE12EC" w:rsidRPr="00756BAB" w:rsidRDefault="00DE12EC" w:rsidP="00756BAB">
      <w:pPr>
        <w:pStyle w:val="aa"/>
        <w:numPr>
          <w:ilvl w:val="0"/>
          <w:numId w:val="33"/>
        </w:numPr>
        <w:spacing w:line="240" w:lineRule="atLeast"/>
        <w:contextualSpacing/>
        <w:jc w:val="both"/>
        <w:rPr>
          <w:lang w:val="uk-UA"/>
        </w:rPr>
      </w:pPr>
      <w:r w:rsidRPr="00756BAB">
        <w:rPr>
          <w:lang w:val="uk-UA"/>
        </w:rPr>
        <w:t>Забезпечення надання послуг з 01.0</w:t>
      </w:r>
      <w:r w:rsidR="00756BAB" w:rsidRPr="00756BAB">
        <w:rPr>
          <w:lang w:val="uk-UA"/>
        </w:rPr>
        <w:t>3</w:t>
      </w:r>
      <w:r w:rsidRPr="00756BAB">
        <w:rPr>
          <w:lang w:val="uk-UA"/>
        </w:rPr>
        <w:t>.2024 року</w:t>
      </w:r>
    </w:p>
    <w:p w14:paraId="7CCCCF88" w14:textId="77777777" w:rsidR="00DE12EC" w:rsidRPr="00756BAB" w:rsidRDefault="00DE12EC" w:rsidP="00756BAB">
      <w:pPr>
        <w:pStyle w:val="aa"/>
        <w:numPr>
          <w:ilvl w:val="0"/>
          <w:numId w:val="33"/>
        </w:numPr>
        <w:spacing w:line="240" w:lineRule="atLeast"/>
        <w:contextualSpacing/>
        <w:jc w:val="both"/>
        <w:rPr>
          <w:lang w:val="uk-UA"/>
        </w:rPr>
      </w:pPr>
      <w:r w:rsidRPr="00756BAB">
        <w:rPr>
          <w:lang w:val="uk-UA"/>
        </w:rPr>
        <w:t>Надання Замовнику доступу до онлайн-сервісу програмно-апаратної системи прогнозування обсягів купівлі електроенергії на ринках, а саме:</w:t>
      </w:r>
    </w:p>
    <w:p w14:paraId="5842967B" w14:textId="5806CCE7" w:rsidR="00DE12EC" w:rsidRPr="00756BAB" w:rsidRDefault="00DE12EC" w:rsidP="00756BAB">
      <w:pPr>
        <w:pStyle w:val="aa"/>
        <w:numPr>
          <w:ilvl w:val="0"/>
          <w:numId w:val="33"/>
        </w:numPr>
        <w:spacing w:line="240" w:lineRule="atLeast"/>
        <w:contextualSpacing/>
        <w:jc w:val="both"/>
        <w:rPr>
          <w:lang w:val="uk-UA"/>
        </w:rPr>
      </w:pPr>
      <w:r w:rsidRPr="00756BAB">
        <w:rPr>
          <w:lang w:val="uk-UA"/>
        </w:rPr>
        <w:t>Забезпечення цілодобового віддаленого доступу працівників Замовника до системи та її належне функціонування згідно вимог Замовника.</w:t>
      </w:r>
    </w:p>
    <w:p w14:paraId="0D93D31D" w14:textId="7957B1B1" w:rsidR="00DE12EC" w:rsidRPr="00756BAB" w:rsidRDefault="00DE12EC" w:rsidP="00756BAB">
      <w:pPr>
        <w:pStyle w:val="aa"/>
        <w:numPr>
          <w:ilvl w:val="0"/>
          <w:numId w:val="33"/>
        </w:numPr>
        <w:spacing w:line="240" w:lineRule="atLeast"/>
        <w:contextualSpacing/>
        <w:jc w:val="both"/>
        <w:rPr>
          <w:lang w:val="uk-UA"/>
        </w:rPr>
      </w:pPr>
      <w:r w:rsidRPr="00756BAB">
        <w:rPr>
          <w:lang w:val="uk-UA"/>
        </w:rPr>
        <w:t>Розширення функціоналу системи, що відповідатиме поточним вимогам бізнес-процесів Замовника.</w:t>
      </w:r>
    </w:p>
    <w:p w14:paraId="7B16BE9F" w14:textId="672A978E" w:rsidR="00DE12EC" w:rsidRPr="00756BAB" w:rsidRDefault="00DE12EC" w:rsidP="00756BAB">
      <w:pPr>
        <w:pStyle w:val="aa"/>
        <w:numPr>
          <w:ilvl w:val="0"/>
          <w:numId w:val="33"/>
        </w:numPr>
        <w:spacing w:line="240" w:lineRule="atLeast"/>
        <w:contextualSpacing/>
        <w:jc w:val="both"/>
        <w:rPr>
          <w:lang w:val="uk-UA"/>
        </w:rPr>
      </w:pPr>
      <w:r w:rsidRPr="00756BAB">
        <w:rPr>
          <w:lang w:val="uk-UA"/>
        </w:rPr>
        <w:t>Здійснення оновлень системи.</w:t>
      </w:r>
    </w:p>
    <w:p w14:paraId="329BD7B8" w14:textId="3BFF5F76" w:rsidR="00DE12EC" w:rsidRPr="00756BAB" w:rsidRDefault="00DE12EC" w:rsidP="00756BAB">
      <w:pPr>
        <w:pStyle w:val="aa"/>
        <w:numPr>
          <w:ilvl w:val="0"/>
          <w:numId w:val="33"/>
        </w:numPr>
        <w:spacing w:line="240" w:lineRule="atLeast"/>
        <w:contextualSpacing/>
        <w:jc w:val="both"/>
        <w:rPr>
          <w:lang w:val="uk-UA"/>
        </w:rPr>
      </w:pPr>
      <w:r w:rsidRPr="00756BAB">
        <w:rPr>
          <w:lang w:val="uk-UA"/>
        </w:rPr>
        <w:t>Виявлення та усунення недоліків.</w:t>
      </w:r>
    </w:p>
    <w:p w14:paraId="1FAF6E5C" w14:textId="2A43B5EA" w:rsidR="00DE12EC" w:rsidRPr="00756BAB" w:rsidRDefault="00DE12EC" w:rsidP="00756BAB">
      <w:pPr>
        <w:pStyle w:val="aa"/>
        <w:numPr>
          <w:ilvl w:val="0"/>
          <w:numId w:val="33"/>
        </w:numPr>
        <w:spacing w:line="240" w:lineRule="atLeast"/>
        <w:contextualSpacing/>
        <w:jc w:val="both"/>
        <w:rPr>
          <w:lang w:val="uk-UA"/>
        </w:rPr>
      </w:pPr>
      <w:r w:rsidRPr="00756BAB">
        <w:rPr>
          <w:lang w:val="uk-UA"/>
        </w:rPr>
        <w:t>Консультування щодо користуванням системою.</w:t>
      </w:r>
    </w:p>
    <w:p w14:paraId="282981F6" w14:textId="77777777" w:rsidR="00DE12EC" w:rsidRPr="00756BAB" w:rsidRDefault="00DE12EC" w:rsidP="00756BAB">
      <w:pPr>
        <w:pStyle w:val="aa"/>
        <w:numPr>
          <w:ilvl w:val="0"/>
          <w:numId w:val="33"/>
        </w:numPr>
        <w:spacing w:line="240" w:lineRule="atLeast"/>
        <w:contextualSpacing/>
        <w:jc w:val="both"/>
        <w:rPr>
          <w:lang w:val="uk-UA"/>
        </w:rPr>
      </w:pPr>
      <w:r w:rsidRPr="00756BAB">
        <w:rPr>
          <w:lang w:val="uk-UA"/>
        </w:rPr>
        <w:t>Вимоги до системи:</w:t>
      </w:r>
    </w:p>
    <w:p w14:paraId="5B6B793B" w14:textId="77777777" w:rsidR="00DE12EC" w:rsidRPr="00756BAB" w:rsidRDefault="00DE12EC" w:rsidP="00756BAB">
      <w:pPr>
        <w:pStyle w:val="aa"/>
        <w:numPr>
          <w:ilvl w:val="0"/>
          <w:numId w:val="33"/>
        </w:numPr>
        <w:spacing w:line="240" w:lineRule="atLeast"/>
        <w:contextualSpacing/>
        <w:jc w:val="both"/>
        <w:rPr>
          <w:lang w:val="uk-UA"/>
        </w:rPr>
      </w:pPr>
      <w:r w:rsidRPr="00756BAB">
        <w:rPr>
          <w:lang w:val="uk-UA"/>
        </w:rPr>
        <w:t>-</w:t>
      </w:r>
      <w:r w:rsidRPr="00756BAB">
        <w:rPr>
          <w:lang w:val="uk-UA"/>
        </w:rPr>
        <w:tab/>
        <w:t xml:space="preserve">Визначення форми погодинного графіку споживання електричної енергії шляхом видачі користувачу системи інформації про фактичне погодинне споживання електричної енергії (за визначену кількість попередніх діб   із порівнянням з остаточним прогнозом на поточну добу, з врахуванням робочих, вихідних та святкових днів). </w:t>
      </w:r>
    </w:p>
    <w:p w14:paraId="4516B57C" w14:textId="261EB58C" w:rsidR="00DE12EC" w:rsidRPr="00756BAB" w:rsidRDefault="00DE12EC" w:rsidP="00756BAB">
      <w:pPr>
        <w:pStyle w:val="aa"/>
        <w:numPr>
          <w:ilvl w:val="0"/>
          <w:numId w:val="33"/>
        </w:numPr>
        <w:spacing w:line="240" w:lineRule="atLeast"/>
        <w:contextualSpacing/>
        <w:jc w:val="both"/>
        <w:rPr>
          <w:lang w:val="uk-UA"/>
        </w:rPr>
      </w:pPr>
      <w:r w:rsidRPr="00756BAB">
        <w:rPr>
          <w:lang w:val="uk-UA"/>
        </w:rPr>
        <w:t>Визначення залежності графіків споживання електричної енергії Постачальника від погодних умов.</w:t>
      </w:r>
    </w:p>
    <w:p w14:paraId="133D22DA" w14:textId="501024F6" w:rsidR="00DE12EC" w:rsidRPr="00756BAB" w:rsidRDefault="00DE12EC" w:rsidP="00756BAB">
      <w:pPr>
        <w:pStyle w:val="aa"/>
        <w:numPr>
          <w:ilvl w:val="0"/>
          <w:numId w:val="33"/>
        </w:numPr>
        <w:spacing w:line="240" w:lineRule="atLeast"/>
        <w:contextualSpacing/>
        <w:jc w:val="both"/>
        <w:rPr>
          <w:lang w:val="uk-UA"/>
        </w:rPr>
      </w:pPr>
      <w:r w:rsidRPr="00756BAB">
        <w:rPr>
          <w:lang w:val="uk-UA"/>
        </w:rPr>
        <w:t>Визначення специфіки прогнозування електричної енергії для купівлі на різних сегментах ринку залежно від географічного розташування споживача.</w:t>
      </w:r>
    </w:p>
    <w:p w14:paraId="2B6EBFA4" w14:textId="28DB2A06" w:rsidR="00DE12EC" w:rsidRPr="00756BAB" w:rsidRDefault="00DE12EC" w:rsidP="00756BAB">
      <w:pPr>
        <w:pStyle w:val="aa"/>
        <w:numPr>
          <w:ilvl w:val="0"/>
          <w:numId w:val="33"/>
        </w:numPr>
        <w:spacing w:line="240" w:lineRule="atLeast"/>
        <w:contextualSpacing/>
        <w:jc w:val="both"/>
        <w:rPr>
          <w:lang w:val="uk-UA"/>
        </w:rPr>
      </w:pPr>
      <w:r w:rsidRPr="00756BAB">
        <w:rPr>
          <w:lang w:val="uk-UA"/>
        </w:rPr>
        <w:t xml:space="preserve">Система повинна надавати можливість вибору прогнозу споживання е/е на конкретну годину доби, добу, тиждень, місяць, як по конкретному споживачу, так і в цілому по всіх споживачах постачальника з прив’язкою до конкретного ОСР. </w:t>
      </w:r>
    </w:p>
    <w:p w14:paraId="52BAC421" w14:textId="580EA24F" w:rsidR="00DE12EC" w:rsidRPr="00756BAB" w:rsidRDefault="00DE12EC" w:rsidP="00756BAB">
      <w:pPr>
        <w:pStyle w:val="aa"/>
        <w:numPr>
          <w:ilvl w:val="0"/>
          <w:numId w:val="33"/>
        </w:numPr>
        <w:spacing w:line="240" w:lineRule="atLeast"/>
        <w:contextualSpacing/>
        <w:jc w:val="both"/>
        <w:rPr>
          <w:lang w:val="uk-UA"/>
        </w:rPr>
      </w:pPr>
      <w:r w:rsidRPr="00756BAB">
        <w:rPr>
          <w:lang w:val="uk-UA"/>
        </w:rPr>
        <w:t>Система повинна формувати прогнозні обсяги купівлі відповідним графіком споживання за споживачами групи «а» та групи «б», ВЦ та ПУП.</w:t>
      </w:r>
    </w:p>
    <w:p w14:paraId="6202FFC0" w14:textId="444143A3" w:rsidR="00DE12EC" w:rsidRPr="00756BAB" w:rsidRDefault="00DE12EC" w:rsidP="00756BAB">
      <w:pPr>
        <w:pStyle w:val="aa"/>
        <w:numPr>
          <w:ilvl w:val="0"/>
          <w:numId w:val="33"/>
        </w:numPr>
        <w:spacing w:line="240" w:lineRule="atLeast"/>
        <w:contextualSpacing/>
        <w:jc w:val="both"/>
        <w:rPr>
          <w:lang w:val="uk-UA"/>
        </w:rPr>
      </w:pPr>
      <w:r w:rsidRPr="00756BAB">
        <w:rPr>
          <w:lang w:val="uk-UA"/>
        </w:rPr>
        <w:t>Система повинна надавати порівняльний аналіз заявки споживача з фактом аналогічного періоду та минулого періоду ( відхилення у % факту від заявки).</w:t>
      </w:r>
    </w:p>
    <w:p w14:paraId="281A59D2" w14:textId="6A520124" w:rsidR="00DE12EC" w:rsidRPr="00756BAB" w:rsidRDefault="00DE12EC" w:rsidP="00756BAB">
      <w:pPr>
        <w:pStyle w:val="aa"/>
        <w:numPr>
          <w:ilvl w:val="0"/>
          <w:numId w:val="33"/>
        </w:numPr>
        <w:spacing w:line="240" w:lineRule="atLeast"/>
        <w:contextualSpacing/>
        <w:jc w:val="both"/>
        <w:rPr>
          <w:lang w:val="uk-UA"/>
        </w:rPr>
      </w:pPr>
      <w:r w:rsidRPr="00756BAB">
        <w:rPr>
          <w:lang w:val="uk-UA"/>
        </w:rPr>
        <w:t>Система повинна надавати можливість будування прогнозних погодинних графіків споживання, діаграм споживання у розрізі окремих споживачів, груп споживачів ( населення, промисловість, бюджет тощо),  виду постачання ( ВЦ та ПУП), площадок вимірювання ( гр «а» та гр «б»), за будь-який  визначений період ( доба, тиждень,  місяць тощо).</w:t>
      </w:r>
    </w:p>
    <w:p w14:paraId="15F48470" w14:textId="41846FD6" w:rsidR="00DE12EC" w:rsidRPr="00756BAB" w:rsidRDefault="00DE12EC" w:rsidP="00756BAB">
      <w:pPr>
        <w:pStyle w:val="aa"/>
        <w:numPr>
          <w:ilvl w:val="0"/>
          <w:numId w:val="33"/>
        </w:numPr>
        <w:spacing w:line="240" w:lineRule="atLeast"/>
        <w:contextualSpacing/>
        <w:jc w:val="both"/>
        <w:rPr>
          <w:lang w:val="uk-UA"/>
        </w:rPr>
      </w:pPr>
      <w:r w:rsidRPr="00756BAB">
        <w:rPr>
          <w:lang w:val="uk-UA"/>
        </w:rPr>
        <w:t xml:space="preserve">Надавати прогнозування лінії тренду. </w:t>
      </w:r>
    </w:p>
    <w:p w14:paraId="60898A89" w14:textId="19DBDF13" w:rsidR="00DE12EC" w:rsidRPr="00756BAB" w:rsidRDefault="00DE12EC" w:rsidP="00756BAB">
      <w:pPr>
        <w:pStyle w:val="aa"/>
        <w:numPr>
          <w:ilvl w:val="0"/>
          <w:numId w:val="33"/>
        </w:numPr>
        <w:spacing w:line="240" w:lineRule="atLeast"/>
        <w:contextualSpacing/>
        <w:jc w:val="both"/>
        <w:rPr>
          <w:lang w:val="uk-UA"/>
        </w:rPr>
      </w:pPr>
      <w:r w:rsidRPr="00756BAB">
        <w:rPr>
          <w:lang w:val="uk-UA"/>
        </w:rPr>
        <w:t>Надавати можливість порівнювати різні прогнозні  погодинні графіки обсягів споживання з фактичними погодинними обсягами та ранжування прогнозних моделей за рейтингами якості.</w:t>
      </w:r>
    </w:p>
    <w:p w14:paraId="17949F69" w14:textId="44A5DF55" w:rsidR="00DE12EC" w:rsidRPr="00756BAB" w:rsidRDefault="00DE12EC" w:rsidP="00756BAB">
      <w:pPr>
        <w:pStyle w:val="aa"/>
        <w:numPr>
          <w:ilvl w:val="0"/>
          <w:numId w:val="33"/>
        </w:numPr>
        <w:spacing w:line="240" w:lineRule="atLeast"/>
        <w:contextualSpacing/>
        <w:jc w:val="both"/>
        <w:rPr>
          <w:lang w:val="uk-UA"/>
        </w:rPr>
      </w:pPr>
      <w:r w:rsidRPr="00756BAB">
        <w:rPr>
          <w:lang w:val="uk-UA"/>
        </w:rPr>
        <w:t>формування щоденного прогнозного макету 30900 (щоденний макет погодинних обсягів купівлі електричної енергії Постачальниками, що формується ОСР для Постачальників за споживачами даних постачальників) Постачальника;</w:t>
      </w:r>
    </w:p>
    <w:p w14:paraId="3BB4395D" w14:textId="389E5BF4" w:rsidR="00DE12EC" w:rsidRPr="00756BAB" w:rsidRDefault="00DE12EC" w:rsidP="00756BAB">
      <w:pPr>
        <w:pStyle w:val="aa"/>
        <w:numPr>
          <w:ilvl w:val="0"/>
          <w:numId w:val="33"/>
        </w:numPr>
        <w:spacing w:line="240" w:lineRule="atLeast"/>
        <w:contextualSpacing/>
        <w:jc w:val="both"/>
        <w:rPr>
          <w:lang w:val="uk-UA"/>
        </w:rPr>
      </w:pPr>
      <w:r w:rsidRPr="00756BAB">
        <w:rPr>
          <w:lang w:val="uk-UA"/>
        </w:rPr>
        <w:t xml:space="preserve">формування щоденних погодинних прогнозів закупівлі електроенергії на ринку електричної енергії України на добу, місяць, рік; </w:t>
      </w:r>
    </w:p>
    <w:p w14:paraId="0C0983CC" w14:textId="23A88884" w:rsidR="00DE12EC" w:rsidRPr="00756BAB" w:rsidRDefault="00DE12EC" w:rsidP="00756BAB">
      <w:pPr>
        <w:pStyle w:val="aa"/>
        <w:numPr>
          <w:ilvl w:val="0"/>
          <w:numId w:val="33"/>
        </w:numPr>
        <w:spacing w:line="240" w:lineRule="atLeast"/>
        <w:contextualSpacing/>
        <w:jc w:val="both"/>
        <w:rPr>
          <w:lang w:val="uk-UA"/>
        </w:rPr>
      </w:pPr>
      <w:r w:rsidRPr="00756BAB">
        <w:rPr>
          <w:lang w:val="uk-UA"/>
        </w:rPr>
        <w:t>формування щоденних погодинних заявок на ринок електричної енергії щодо купівлі обсягів споживання електричної енергії;</w:t>
      </w:r>
    </w:p>
    <w:p w14:paraId="6411E8DF" w14:textId="4FCCFB75" w:rsidR="00DE12EC" w:rsidRPr="00756BAB" w:rsidRDefault="00DE12EC" w:rsidP="00756BAB">
      <w:pPr>
        <w:pStyle w:val="aa"/>
        <w:numPr>
          <w:ilvl w:val="0"/>
          <w:numId w:val="33"/>
        </w:numPr>
        <w:spacing w:line="240" w:lineRule="atLeast"/>
        <w:contextualSpacing/>
        <w:jc w:val="both"/>
        <w:rPr>
          <w:lang w:val="uk-UA"/>
        </w:rPr>
      </w:pPr>
      <w:r w:rsidRPr="00756BAB">
        <w:rPr>
          <w:lang w:val="uk-UA"/>
        </w:rPr>
        <w:t>прогнозування обсягів продаж Постачальника для споживачів, які проводять розрахунки за ВЦ та ПУП,</w:t>
      </w:r>
    </w:p>
    <w:p w14:paraId="1E1FA2F5" w14:textId="0C6785D9" w:rsidR="00DE12EC" w:rsidRPr="00756BAB" w:rsidRDefault="00DE12EC" w:rsidP="00756BAB">
      <w:pPr>
        <w:pStyle w:val="aa"/>
        <w:numPr>
          <w:ilvl w:val="0"/>
          <w:numId w:val="33"/>
        </w:numPr>
        <w:spacing w:line="240" w:lineRule="atLeast"/>
        <w:contextualSpacing/>
        <w:jc w:val="both"/>
        <w:rPr>
          <w:lang w:val="uk-UA"/>
        </w:rPr>
      </w:pPr>
      <w:r w:rsidRPr="00756BAB">
        <w:rPr>
          <w:lang w:val="uk-UA"/>
        </w:rPr>
        <w:t xml:space="preserve">накопичення інформації з відповідних щодобових погодинних макетів щодо: </w:t>
      </w:r>
    </w:p>
    <w:p w14:paraId="3EBB52B7" w14:textId="02C345EA" w:rsidR="00DE12EC" w:rsidRPr="00756BAB" w:rsidRDefault="00DE12EC" w:rsidP="00756BAB">
      <w:pPr>
        <w:pStyle w:val="aa"/>
        <w:numPr>
          <w:ilvl w:val="0"/>
          <w:numId w:val="33"/>
        </w:numPr>
        <w:spacing w:line="240" w:lineRule="atLeast"/>
        <w:contextualSpacing/>
        <w:jc w:val="both"/>
        <w:rPr>
          <w:lang w:val="uk-UA"/>
        </w:rPr>
      </w:pPr>
      <w:r w:rsidRPr="00756BAB">
        <w:rPr>
          <w:lang w:val="uk-UA"/>
        </w:rPr>
        <w:lastRenderedPageBreak/>
        <w:t>купівлі електричної енергії для споживачів Постачальника, які проводять розрахунки  за ВЦ;</w:t>
      </w:r>
    </w:p>
    <w:p w14:paraId="33611BC9" w14:textId="4094D11F" w:rsidR="00DE12EC" w:rsidRPr="00756BAB" w:rsidRDefault="00DE12EC" w:rsidP="00756BAB">
      <w:pPr>
        <w:pStyle w:val="aa"/>
        <w:numPr>
          <w:ilvl w:val="0"/>
          <w:numId w:val="33"/>
        </w:numPr>
        <w:spacing w:line="240" w:lineRule="atLeast"/>
        <w:contextualSpacing/>
        <w:jc w:val="both"/>
        <w:rPr>
          <w:lang w:val="uk-UA"/>
        </w:rPr>
      </w:pPr>
      <w:r w:rsidRPr="00756BAB">
        <w:rPr>
          <w:lang w:val="uk-UA"/>
        </w:rPr>
        <w:t>купівлі  електричної енергії для споживачів Постачальника, які проводять розрахунки за регульованими тарифами.</w:t>
      </w:r>
    </w:p>
    <w:p w14:paraId="2F73B7AD" w14:textId="33B32F8D" w:rsidR="00DE12EC" w:rsidRPr="00756BAB" w:rsidRDefault="00DE12EC" w:rsidP="00756BAB">
      <w:pPr>
        <w:pStyle w:val="aa"/>
        <w:numPr>
          <w:ilvl w:val="0"/>
          <w:numId w:val="33"/>
        </w:numPr>
        <w:spacing w:line="240" w:lineRule="atLeast"/>
        <w:contextualSpacing/>
        <w:jc w:val="both"/>
        <w:rPr>
          <w:lang w:val="uk-UA"/>
        </w:rPr>
      </w:pPr>
      <w:r w:rsidRPr="00756BAB">
        <w:rPr>
          <w:lang w:val="uk-UA"/>
        </w:rPr>
        <w:t xml:space="preserve">формування звітів для аналізу якості прогнозів по користувачам та/або прогнозним моделям та здійснення остаточних прогнозів; </w:t>
      </w:r>
    </w:p>
    <w:p w14:paraId="055A3088" w14:textId="4B90C19F" w:rsidR="00DE12EC" w:rsidRPr="00756BAB" w:rsidRDefault="00DE12EC" w:rsidP="00756BAB">
      <w:pPr>
        <w:pStyle w:val="aa"/>
        <w:numPr>
          <w:ilvl w:val="0"/>
          <w:numId w:val="33"/>
        </w:numPr>
        <w:spacing w:line="240" w:lineRule="atLeast"/>
        <w:contextualSpacing/>
        <w:jc w:val="both"/>
        <w:rPr>
          <w:lang w:val="uk-UA"/>
        </w:rPr>
      </w:pPr>
      <w:r w:rsidRPr="00756BAB">
        <w:rPr>
          <w:lang w:val="uk-UA"/>
        </w:rPr>
        <w:t>аналіз динаміки споживання електричної енергії за місяць, порівняння даних у заявках виробників електричної енергії з фактичними даними.</w:t>
      </w:r>
    </w:p>
    <w:p w14:paraId="0AE94166" w14:textId="77777777" w:rsidR="00DE12EC" w:rsidRDefault="00DE12EC" w:rsidP="00DE12EC">
      <w:pPr>
        <w:tabs>
          <w:tab w:val="left" w:pos="3225"/>
        </w:tabs>
        <w:rPr>
          <w:rFonts w:cs="Times New Roman CYR"/>
          <w:b/>
          <w:lang w:val="uk-UA"/>
        </w:rPr>
      </w:pPr>
    </w:p>
    <w:p w14:paraId="787D5FA3" w14:textId="49FAB536" w:rsidR="002D1582" w:rsidRPr="00AB710C" w:rsidRDefault="002D1582" w:rsidP="00F96C6F">
      <w:pPr>
        <w:pStyle w:val="aa"/>
        <w:spacing w:after="160" w:line="259" w:lineRule="auto"/>
        <w:ind w:left="1276"/>
        <w:contextualSpacing/>
        <w:rPr>
          <w:lang w:val="uk-UA"/>
        </w:rPr>
      </w:pPr>
    </w:p>
    <w:p w14:paraId="52C75C0B" w14:textId="5E574F61" w:rsidR="00D27038" w:rsidRPr="00AB710C" w:rsidRDefault="00D27038" w:rsidP="00D27038">
      <w:pPr>
        <w:pStyle w:val="a9"/>
        <w:rPr>
          <w:rFonts w:ascii="Times New Roman" w:hAnsi="Times New Roman"/>
          <w:sz w:val="24"/>
          <w:szCs w:val="24"/>
          <w:lang w:val="uk-UA"/>
        </w:rPr>
      </w:pPr>
    </w:p>
    <w:p w14:paraId="4522F25B" w14:textId="77777777" w:rsidR="00D27038" w:rsidRPr="00AB710C" w:rsidRDefault="00D27038" w:rsidP="00D27038">
      <w:pPr>
        <w:pStyle w:val="a9"/>
        <w:rPr>
          <w:rFonts w:ascii="Times New Roman" w:hAnsi="Times New Roman"/>
          <w:sz w:val="24"/>
          <w:szCs w:val="24"/>
          <w:lang w:val="uk-UA"/>
        </w:rPr>
      </w:pPr>
    </w:p>
    <w:p w14:paraId="68B85729" w14:textId="77777777" w:rsidR="00D27038" w:rsidRPr="00AB710C" w:rsidRDefault="00D27038" w:rsidP="00D27038">
      <w:pPr>
        <w:pStyle w:val="a9"/>
        <w:rPr>
          <w:rFonts w:ascii="Times New Roman" w:hAnsi="Times New Roman"/>
          <w:sz w:val="24"/>
          <w:szCs w:val="24"/>
          <w:lang w:val="uk-UA"/>
        </w:rPr>
      </w:pPr>
    </w:p>
    <w:p w14:paraId="02F4B264" w14:textId="77777777" w:rsidR="00D27038" w:rsidRPr="00AB710C" w:rsidRDefault="00D27038" w:rsidP="00D27038">
      <w:pPr>
        <w:jc w:val="both"/>
        <w:rPr>
          <w:lang w:val="uk-UA"/>
        </w:rPr>
      </w:pPr>
    </w:p>
    <w:p w14:paraId="006C486D" w14:textId="77777777" w:rsidR="00D27038" w:rsidRPr="00AB710C" w:rsidRDefault="00D27038" w:rsidP="00D27038">
      <w:pPr>
        <w:pStyle w:val="a6"/>
        <w:spacing w:after="0"/>
        <w:jc w:val="center"/>
        <w:rPr>
          <w:b/>
          <w:lang w:val="uk-UA"/>
        </w:rPr>
      </w:pPr>
    </w:p>
    <w:p w14:paraId="55232383" w14:textId="77777777" w:rsidR="00D27038" w:rsidRPr="00AB710C" w:rsidRDefault="00D27038" w:rsidP="00D27038">
      <w:pPr>
        <w:pStyle w:val="a6"/>
        <w:spacing w:after="0"/>
        <w:jc w:val="center"/>
        <w:rPr>
          <w:b/>
          <w:lang w:val="uk-UA"/>
        </w:rPr>
      </w:pPr>
    </w:p>
    <w:p w14:paraId="401645FB" w14:textId="77777777" w:rsidR="00D27038" w:rsidRPr="00AB710C" w:rsidRDefault="00D27038" w:rsidP="00D27038">
      <w:pPr>
        <w:rPr>
          <w:lang w:val="uk-UA"/>
        </w:rPr>
        <w:sectPr w:rsidR="00D27038" w:rsidRPr="00AB710C">
          <w:pgSz w:w="11906" w:h="16838"/>
          <w:pgMar w:top="720" w:right="1134" w:bottom="720" w:left="1134" w:header="709" w:footer="709" w:gutter="0"/>
          <w:cols w:space="720"/>
        </w:sectPr>
      </w:pPr>
    </w:p>
    <w:p w14:paraId="31877C69" w14:textId="77777777" w:rsidR="00D27038" w:rsidRPr="00AB710C" w:rsidRDefault="00D27038" w:rsidP="00D27038">
      <w:pPr>
        <w:tabs>
          <w:tab w:val="left" w:pos="3225"/>
        </w:tabs>
        <w:jc w:val="right"/>
        <w:rPr>
          <w:b/>
          <w:lang w:val="uk-UA"/>
        </w:rPr>
      </w:pPr>
      <w:r w:rsidRPr="00AB710C">
        <w:rPr>
          <w:b/>
          <w:lang w:val="uk-UA"/>
        </w:rPr>
        <w:lastRenderedPageBreak/>
        <w:t>ДОДАТОК №3</w:t>
      </w:r>
    </w:p>
    <w:p w14:paraId="35BC93E6" w14:textId="77777777" w:rsidR="00D27038" w:rsidRPr="00AB710C" w:rsidRDefault="00D27038" w:rsidP="00D27038">
      <w:pPr>
        <w:tabs>
          <w:tab w:val="left" w:pos="3225"/>
        </w:tabs>
        <w:jc w:val="right"/>
        <w:rPr>
          <w:b/>
          <w:lang w:val="uk-UA"/>
        </w:rPr>
      </w:pPr>
      <w:r w:rsidRPr="00AB710C">
        <w:rPr>
          <w:b/>
          <w:lang w:val="uk-UA"/>
        </w:rPr>
        <w:t>до оголошення</w:t>
      </w:r>
    </w:p>
    <w:p w14:paraId="1E82AA89" w14:textId="77777777" w:rsidR="00D27038" w:rsidRPr="00AB710C" w:rsidRDefault="00D27038" w:rsidP="00D27038">
      <w:pPr>
        <w:tabs>
          <w:tab w:val="left" w:pos="3225"/>
        </w:tabs>
        <w:jc w:val="right"/>
        <w:rPr>
          <w:b/>
          <w:lang w:val="uk-UA"/>
        </w:rPr>
      </w:pPr>
    </w:p>
    <w:p w14:paraId="4D515F7D" w14:textId="77777777" w:rsidR="00602B92" w:rsidRPr="006E1197" w:rsidRDefault="00602B92" w:rsidP="00602B92">
      <w:pPr>
        <w:rPr>
          <w:sz w:val="22"/>
          <w:szCs w:val="22"/>
          <w:lang w:val="uk-UA"/>
        </w:rPr>
      </w:pPr>
    </w:p>
    <w:p w14:paraId="45C91135" w14:textId="77777777" w:rsidR="00602B92" w:rsidRPr="006E1197" w:rsidRDefault="00602B92" w:rsidP="00602B92">
      <w:pPr>
        <w:jc w:val="center"/>
        <w:rPr>
          <w:b/>
          <w:sz w:val="22"/>
          <w:szCs w:val="22"/>
          <w:lang w:val="uk-UA"/>
        </w:rPr>
      </w:pPr>
      <w:r w:rsidRPr="006E1197">
        <w:rPr>
          <w:b/>
          <w:sz w:val="22"/>
          <w:szCs w:val="22"/>
          <w:lang w:val="uk-UA"/>
        </w:rPr>
        <w:t>Договір</w:t>
      </w:r>
    </w:p>
    <w:p w14:paraId="4DA5ED14" w14:textId="77777777" w:rsidR="00602B92" w:rsidRPr="006E1197" w:rsidRDefault="00602B92" w:rsidP="00602B92">
      <w:pPr>
        <w:jc w:val="center"/>
        <w:rPr>
          <w:sz w:val="22"/>
          <w:szCs w:val="22"/>
          <w:lang w:val="uk-UA"/>
        </w:rPr>
      </w:pPr>
      <w:r w:rsidRPr="006E1197">
        <w:rPr>
          <w:b/>
          <w:sz w:val="22"/>
          <w:szCs w:val="22"/>
          <w:lang w:val="uk-UA"/>
        </w:rPr>
        <w:t xml:space="preserve"> про надання послуг № ________</w:t>
      </w:r>
    </w:p>
    <w:p w14:paraId="7184F566" w14:textId="77777777" w:rsidR="00602B92" w:rsidRPr="006E1197" w:rsidRDefault="00602B92" w:rsidP="00602B92">
      <w:pPr>
        <w:suppressAutoHyphens/>
        <w:jc w:val="center"/>
        <w:rPr>
          <w:sz w:val="22"/>
          <w:szCs w:val="22"/>
          <w:lang w:val="uk-UA"/>
        </w:rPr>
      </w:pPr>
    </w:p>
    <w:p w14:paraId="14C741CB" w14:textId="77777777" w:rsidR="00602B92" w:rsidRPr="006E1197" w:rsidRDefault="00602B92" w:rsidP="00602B92">
      <w:pPr>
        <w:suppressAutoHyphens/>
        <w:rPr>
          <w:b/>
          <w:sz w:val="22"/>
          <w:szCs w:val="22"/>
          <w:lang w:val="uk-UA"/>
        </w:rPr>
      </w:pPr>
      <w:r w:rsidRPr="006E1197">
        <w:rPr>
          <w:b/>
          <w:sz w:val="22"/>
          <w:szCs w:val="22"/>
          <w:lang w:val="uk-UA"/>
        </w:rPr>
        <w:t xml:space="preserve">_______________ </w:t>
      </w:r>
      <w:r w:rsidRPr="006E1197">
        <w:rPr>
          <w:b/>
          <w:sz w:val="22"/>
          <w:szCs w:val="22"/>
          <w:lang w:val="uk-UA"/>
        </w:rPr>
        <w:tab/>
      </w:r>
      <w:r w:rsidRPr="006E1197">
        <w:rPr>
          <w:b/>
          <w:sz w:val="22"/>
          <w:szCs w:val="22"/>
          <w:lang w:val="uk-UA"/>
        </w:rPr>
        <w:tab/>
      </w:r>
      <w:r w:rsidRPr="006E1197">
        <w:rPr>
          <w:b/>
          <w:sz w:val="22"/>
          <w:szCs w:val="22"/>
          <w:lang w:val="uk-UA"/>
        </w:rPr>
        <w:tab/>
      </w:r>
      <w:r w:rsidRPr="006E1197">
        <w:rPr>
          <w:b/>
          <w:sz w:val="22"/>
          <w:szCs w:val="22"/>
          <w:lang w:val="uk-UA"/>
        </w:rPr>
        <w:tab/>
      </w:r>
      <w:r w:rsidRPr="006E1197">
        <w:rPr>
          <w:b/>
          <w:sz w:val="22"/>
          <w:szCs w:val="22"/>
          <w:lang w:val="uk-UA"/>
        </w:rPr>
        <w:tab/>
      </w:r>
      <w:r w:rsidRPr="006E1197">
        <w:rPr>
          <w:b/>
          <w:sz w:val="22"/>
          <w:szCs w:val="22"/>
          <w:lang w:val="uk-UA"/>
        </w:rPr>
        <w:tab/>
      </w:r>
      <w:r w:rsidRPr="006E1197">
        <w:rPr>
          <w:b/>
          <w:sz w:val="22"/>
          <w:szCs w:val="22"/>
          <w:lang w:val="uk-UA"/>
        </w:rPr>
        <w:tab/>
      </w:r>
      <w:r w:rsidRPr="006E1197">
        <w:rPr>
          <w:b/>
          <w:sz w:val="22"/>
          <w:szCs w:val="22"/>
          <w:lang w:val="uk-UA"/>
        </w:rPr>
        <w:tab/>
        <w:t>«___» ________ 20__ року</w:t>
      </w:r>
    </w:p>
    <w:p w14:paraId="3B33C66A" w14:textId="77777777" w:rsidR="00602B92" w:rsidRPr="006E1197" w:rsidRDefault="00602B92" w:rsidP="00602B92">
      <w:pPr>
        <w:suppressAutoHyphens/>
        <w:rPr>
          <w:b/>
          <w:sz w:val="22"/>
          <w:szCs w:val="22"/>
          <w:lang w:val="uk-UA"/>
        </w:rPr>
      </w:pPr>
    </w:p>
    <w:p w14:paraId="4C4F96CA" w14:textId="77777777" w:rsidR="00602B92" w:rsidRPr="006E1197" w:rsidRDefault="00602B92" w:rsidP="00602B92">
      <w:pPr>
        <w:pStyle w:val="12"/>
        <w:suppressAutoHyphens/>
        <w:ind w:firstLine="567"/>
        <w:jc w:val="both"/>
        <w:rPr>
          <w:rFonts w:ascii="Times New Roman" w:hAnsi="Times New Roman"/>
          <w:lang w:eastAsia="ar-SA"/>
        </w:rPr>
      </w:pPr>
      <w:r w:rsidRPr="006E1197">
        <w:rPr>
          <w:rFonts w:ascii="Times New Roman" w:hAnsi="Times New Roman"/>
          <w:b/>
          <w:lang w:eastAsia="ar-SA"/>
        </w:rPr>
        <w:t xml:space="preserve">Товариство з обмеженою відповідальністю «________________» </w:t>
      </w:r>
      <w:r w:rsidRPr="006E1197">
        <w:rPr>
          <w:rFonts w:ascii="Times New Roman" w:hAnsi="Times New Roman"/>
          <w:lang w:eastAsia="ar-SA"/>
        </w:rPr>
        <w:t xml:space="preserve">(надалі – Виконавець), в особі ____________, що діє на підставі Статуту, з однієї сторони, та </w:t>
      </w:r>
    </w:p>
    <w:p w14:paraId="2458ABC3" w14:textId="77777777" w:rsidR="00602B92" w:rsidRPr="006E1197" w:rsidRDefault="00602B92" w:rsidP="00602B92">
      <w:pPr>
        <w:pStyle w:val="12"/>
        <w:suppressAutoHyphens/>
        <w:ind w:firstLine="567"/>
        <w:jc w:val="both"/>
        <w:rPr>
          <w:rFonts w:ascii="Times New Roman" w:hAnsi="Times New Roman"/>
          <w:b/>
          <w:lang w:eastAsia="ar-SA"/>
        </w:rPr>
      </w:pPr>
      <w:r w:rsidRPr="006E1197">
        <w:rPr>
          <w:rFonts w:ascii="Times New Roman" w:hAnsi="Times New Roman"/>
          <w:b/>
          <w:lang w:eastAsia="ar-SA"/>
        </w:rPr>
        <w:t>Товариство з обмеженою відповідальністю «_____________»</w:t>
      </w:r>
      <w:r w:rsidRPr="006E1197">
        <w:rPr>
          <w:rFonts w:ascii="Times New Roman" w:hAnsi="Times New Roman"/>
          <w:lang w:eastAsia="ar-SA"/>
        </w:rPr>
        <w:t xml:space="preserve"> (надалі «Замовник»), в особі _______________, що діє на підставі Статуту, з іншої сторони,</w:t>
      </w:r>
      <w:r w:rsidRPr="006E1197">
        <w:rPr>
          <w:rFonts w:ascii="Times New Roman" w:hAnsi="Times New Roman"/>
          <w:b/>
          <w:lang w:eastAsia="ar-SA"/>
        </w:rPr>
        <w:t xml:space="preserve"> </w:t>
      </w:r>
    </w:p>
    <w:p w14:paraId="78C20C49" w14:textId="77777777" w:rsidR="00602B92" w:rsidRPr="006E1197" w:rsidRDefault="00602B92" w:rsidP="00602B92">
      <w:pPr>
        <w:pStyle w:val="12"/>
        <w:suppressAutoHyphens/>
        <w:ind w:firstLine="567"/>
        <w:jc w:val="both"/>
        <w:rPr>
          <w:rFonts w:ascii="Times New Roman" w:hAnsi="Times New Roman"/>
          <w:lang w:eastAsia="ar-SA"/>
        </w:rPr>
      </w:pPr>
      <w:r w:rsidRPr="006E1197">
        <w:rPr>
          <w:rFonts w:ascii="Times New Roman" w:hAnsi="Times New Roman"/>
          <w:lang w:eastAsia="ar-SA"/>
        </w:rPr>
        <w:t>надалі разом – Сторони, а кожна окремо – Сторона, уклали цей договір про надання послуг (надалі – Договір) про наступне:</w:t>
      </w:r>
    </w:p>
    <w:p w14:paraId="475E526B" w14:textId="77777777" w:rsidR="00602B92" w:rsidRPr="006E1197" w:rsidRDefault="00602B92" w:rsidP="00602B92">
      <w:pPr>
        <w:pStyle w:val="12"/>
        <w:suppressAutoHyphens/>
        <w:ind w:firstLine="567"/>
        <w:jc w:val="both"/>
        <w:rPr>
          <w:rFonts w:ascii="Times New Roman" w:hAnsi="Times New Roman"/>
        </w:rPr>
      </w:pPr>
    </w:p>
    <w:p w14:paraId="088C9D21" w14:textId="77777777" w:rsidR="00602B92" w:rsidRPr="006E1197" w:rsidRDefault="00602B92" w:rsidP="00602B92">
      <w:pPr>
        <w:suppressAutoHyphens/>
        <w:jc w:val="center"/>
        <w:rPr>
          <w:b/>
          <w:sz w:val="22"/>
          <w:szCs w:val="22"/>
          <w:lang w:val="uk-UA"/>
        </w:rPr>
      </w:pPr>
      <w:r w:rsidRPr="006E1197">
        <w:rPr>
          <w:b/>
          <w:sz w:val="22"/>
          <w:szCs w:val="22"/>
          <w:lang w:val="uk-UA"/>
        </w:rPr>
        <w:t>1. Предмет договору</w:t>
      </w:r>
    </w:p>
    <w:p w14:paraId="1574AEB1" w14:textId="241A5025" w:rsidR="00602B92" w:rsidRPr="006E1197" w:rsidRDefault="00602B92" w:rsidP="00602B92">
      <w:pPr>
        <w:suppressAutoHyphens/>
        <w:ind w:firstLine="567"/>
        <w:jc w:val="both"/>
        <w:rPr>
          <w:sz w:val="22"/>
          <w:szCs w:val="22"/>
          <w:lang w:val="uk-UA"/>
        </w:rPr>
      </w:pPr>
      <w:r w:rsidRPr="006E1197">
        <w:rPr>
          <w:sz w:val="22"/>
          <w:szCs w:val="22"/>
          <w:lang w:val="uk-UA"/>
        </w:rPr>
        <w:t>1.1.</w:t>
      </w:r>
      <w:r w:rsidRPr="006E1197">
        <w:rPr>
          <w:sz w:val="22"/>
          <w:szCs w:val="22"/>
          <w:lang w:val="uk-UA"/>
        </w:rPr>
        <w:tab/>
        <w:t xml:space="preserve">Виконавець за завданням Замовника надає з 01 </w:t>
      </w:r>
      <w:r w:rsidR="0085740C">
        <w:rPr>
          <w:sz w:val="22"/>
          <w:szCs w:val="22"/>
          <w:lang w:val="uk-UA"/>
        </w:rPr>
        <w:t>березня</w:t>
      </w:r>
      <w:r w:rsidRPr="006E1197">
        <w:rPr>
          <w:sz w:val="22"/>
          <w:szCs w:val="22"/>
          <w:lang w:val="uk-UA"/>
        </w:rPr>
        <w:t xml:space="preserve"> 202</w:t>
      </w:r>
      <w:r>
        <w:rPr>
          <w:sz w:val="22"/>
          <w:szCs w:val="22"/>
          <w:lang w:val="uk-UA"/>
        </w:rPr>
        <w:t>4</w:t>
      </w:r>
      <w:r w:rsidRPr="006E1197">
        <w:rPr>
          <w:sz w:val="22"/>
          <w:szCs w:val="22"/>
          <w:lang w:val="uk-UA"/>
        </w:rPr>
        <w:t xml:space="preserve"> року послуги, які споживаються у процесі здійснення та забезпечення господарської діяльності Замовника, у вигляді результату комп’ютерного програмування у вигляді онлайн-сервісу, а саме програмно-апаратної системи прогнозування обсягів купівлі електроенергії на ринках, та доступу до нього (надалі – Система), а також технічної підтримки, що включає будь-які зміни, оновлення, доповнення, розширення функціоналу, що відповідатиме поточним вимогам бізнес-процесів Замовника, з одночасним виявлення та усунення недоліків, консультування щодо користування Системою, забезпечення цілодобового віддаленого доступу працівників Замовника до Системи та її належне функціонування згідно вимог Замовника, надалі – послуги з доступу а Замовник зобов’язується приймати і оплачувати надані йому Виконавцем послуги з доступу згідно умов цього Договору.</w:t>
      </w:r>
    </w:p>
    <w:p w14:paraId="385E7C84" w14:textId="77777777" w:rsidR="00602B92" w:rsidRPr="006E1197" w:rsidRDefault="00602B92" w:rsidP="00602B92">
      <w:pPr>
        <w:tabs>
          <w:tab w:val="left" w:pos="284"/>
        </w:tabs>
        <w:suppressAutoHyphens/>
        <w:ind w:left="426"/>
        <w:contextualSpacing/>
        <w:jc w:val="both"/>
        <w:rPr>
          <w:sz w:val="22"/>
          <w:szCs w:val="22"/>
          <w:lang w:val="uk-UA"/>
        </w:rPr>
      </w:pPr>
    </w:p>
    <w:p w14:paraId="1BDBA0FB" w14:textId="77777777" w:rsidR="00602B92" w:rsidRPr="006E1197" w:rsidRDefault="00602B92" w:rsidP="00602B92">
      <w:pPr>
        <w:suppressAutoHyphens/>
        <w:jc w:val="center"/>
        <w:rPr>
          <w:b/>
          <w:sz w:val="22"/>
          <w:szCs w:val="22"/>
          <w:lang w:val="uk-UA"/>
        </w:rPr>
      </w:pPr>
    </w:p>
    <w:p w14:paraId="53BB8C88" w14:textId="77777777" w:rsidR="00602B92" w:rsidRPr="006E1197" w:rsidRDefault="00602B92" w:rsidP="00602B92">
      <w:pPr>
        <w:suppressAutoHyphens/>
        <w:jc w:val="center"/>
        <w:rPr>
          <w:b/>
          <w:sz w:val="22"/>
          <w:szCs w:val="22"/>
          <w:lang w:val="uk-UA"/>
        </w:rPr>
      </w:pPr>
      <w:r w:rsidRPr="006E1197">
        <w:rPr>
          <w:b/>
          <w:sz w:val="22"/>
          <w:szCs w:val="22"/>
          <w:lang w:val="uk-UA"/>
        </w:rPr>
        <w:t>2. Вартість послуги з доступу та порядок розрахунків</w:t>
      </w:r>
    </w:p>
    <w:p w14:paraId="5D0B24F5" w14:textId="77777777" w:rsidR="00602B92" w:rsidRDefault="00602B92" w:rsidP="00602B92">
      <w:pPr>
        <w:suppressAutoHyphens/>
        <w:ind w:firstLine="567"/>
        <w:jc w:val="both"/>
        <w:rPr>
          <w:sz w:val="22"/>
          <w:szCs w:val="22"/>
          <w:lang w:val="uk-UA"/>
        </w:rPr>
      </w:pPr>
      <w:r w:rsidRPr="006E1197">
        <w:rPr>
          <w:sz w:val="22"/>
          <w:szCs w:val="22"/>
          <w:lang w:val="uk-UA"/>
        </w:rPr>
        <w:t>2.1. Вартість послуг з доступу за кожен розрахунковий період, який складає один календарний місяць, становить ___________ гривень __ коп. (______________гривень ___ коп.), у т.ч. ПДВ 20% - ________ гривень __ коп. (_______ гривень __ коп.).</w:t>
      </w:r>
    </w:p>
    <w:p w14:paraId="0F95A5E5" w14:textId="77777777" w:rsidR="00602B92" w:rsidRPr="006E1197" w:rsidRDefault="00602B92" w:rsidP="00602B92">
      <w:pPr>
        <w:suppressAutoHyphens/>
        <w:ind w:firstLine="709"/>
        <w:jc w:val="both"/>
        <w:rPr>
          <w:sz w:val="22"/>
          <w:szCs w:val="22"/>
          <w:lang w:val="uk-UA"/>
        </w:rPr>
      </w:pPr>
      <w:r w:rsidRPr="00245AE2">
        <w:rPr>
          <w:sz w:val="22"/>
          <w:szCs w:val="22"/>
          <w:lang w:val="uk-UA"/>
        </w:rPr>
        <w:t xml:space="preserve">Загальна сума цього Договору (ціна Договору) становить ___________ гривень __ коп. (_______________гривень ____ копійок) , у тому числі ПДВ 20% у розмірі ___________ гривень __ коп. (________  гривень ___ коп.). </w:t>
      </w:r>
      <w:r w:rsidRPr="00245AE2">
        <w:rPr>
          <w:sz w:val="22"/>
          <w:szCs w:val="22"/>
          <w:lang w:val="uk-UA"/>
        </w:rPr>
        <w:tab/>
      </w:r>
    </w:p>
    <w:p w14:paraId="7B0A0254" w14:textId="77777777" w:rsidR="00602B92" w:rsidRPr="006E1197" w:rsidRDefault="00602B92" w:rsidP="00602B92">
      <w:pPr>
        <w:suppressAutoHyphens/>
        <w:ind w:firstLine="567"/>
        <w:jc w:val="both"/>
        <w:rPr>
          <w:sz w:val="22"/>
          <w:szCs w:val="22"/>
          <w:lang w:val="uk-UA"/>
        </w:rPr>
      </w:pPr>
      <w:r w:rsidRPr="006E1197">
        <w:rPr>
          <w:sz w:val="22"/>
          <w:szCs w:val="22"/>
          <w:lang w:val="uk-UA"/>
        </w:rPr>
        <w:t>2.2. Оплата послуг з доступу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 6 цього Договору. Замовник має право здійснювати авансову оплату послуги з доступу за цим Договором.</w:t>
      </w:r>
    </w:p>
    <w:p w14:paraId="4A083CF0" w14:textId="77777777" w:rsidR="00602B92" w:rsidRPr="006E1197" w:rsidRDefault="00602B92" w:rsidP="00602B92">
      <w:pPr>
        <w:suppressAutoHyphens/>
        <w:ind w:firstLine="567"/>
        <w:jc w:val="both"/>
        <w:rPr>
          <w:sz w:val="22"/>
          <w:szCs w:val="22"/>
          <w:lang w:val="uk-UA"/>
        </w:rPr>
      </w:pPr>
      <w:r w:rsidRPr="006E1197">
        <w:rPr>
          <w:sz w:val="22"/>
          <w:szCs w:val="22"/>
          <w:lang w:val="uk-UA"/>
        </w:rPr>
        <w:t>2.3. Факт надання послуг з доступу та їх об’єм за цим Договором підтверджується Актом про виконання умов договору, який підписується Сторонами не пізніше 5 (п’яти) календарних днів після закінчення розрахункового періоду, в якому були надані послуги з доступу. У разі не підписання Замовником відповідного Акту у строк, зазначений у цьому пункті, послуги з доступу за цим Договором вважаються наданим і прийнятим Замовником без заперечень та підлягають оплаті у строк та порядку, визначених у п. 2.4 цього Договору.</w:t>
      </w:r>
    </w:p>
    <w:p w14:paraId="391696BC" w14:textId="77777777" w:rsidR="00602B92" w:rsidRPr="006E1197" w:rsidRDefault="00602B92" w:rsidP="00602B92">
      <w:pPr>
        <w:suppressAutoHyphens/>
        <w:ind w:firstLine="567"/>
        <w:jc w:val="both"/>
        <w:rPr>
          <w:sz w:val="22"/>
          <w:szCs w:val="22"/>
          <w:lang w:val="uk-UA"/>
        </w:rPr>
      </w:pPr>
      <w:r w:rsidRPr="006E1197">
        <w:rPr>
          <w:sz w:val="22"/>
          <w:szCs w:val="22"/>
          <w:lang w:val="uk-UA"/>
        </w:rPr>
        <w:t xml:space="preserve">2.4. Замовник зобов’язаний протягом 90 (дев’яносто) </w:t>
      </w:r>
      <w:r w:rsidRPr="001A57BD">
        <w:rPr>
          <w:sz w:val="22"/>
          <w:szCs w:val="22"/>
          <w:lang w:val="uk-UA"/>
        </w:rPr>
        <w:t xml:space="preserve">банківських </w:t>
      </w:r>
      <w:r w:rsidRPr="006E1197">
        <w:rPr>
          <w:sz w:val="22"/>
          <w:szCs w:val="22"/>
          <w:lang w:val="uk-UA"/>
        </w:rPr>
        <w:t xml:space="preserve">днів з дати підписання відповідного Акту, або з дати настання строку для підписання Акту, здійснювати оплату послуг з доступу у розмірі, зазначеному у п. 2.1 цього Договору. </w:t>
      </w:r>
    </w:p>
    <w:p w14:paraId="76A2438D" w14:textId="7FBAF21D" w:rsidR="00602B92" w:rsidRPr="006E1197" w:rsidRDefault="00602B92" w:rsidP="00602B92">
      <w:pPr>
        <w:suppressAutoHyphens/>
        <w:ind w:firstLine="567"/>
        <w:jc w:val="both"/>
        <w:rPr>
          <w:b/>
          <w:sz w:val="22"/>
          <w:szCs w:val="22"/>
          <w:lang w:val="uk-UA"/>
        </w:rPr>
      </w:pPr>
      <w:r w:rsidRPr="006E1197">
        <w:rPr>
          <w:sz w:val="22"/>
          <w:szCs w:val="22"/>
          <w:lang w:val="uk-UA"/>
        </w:rPr>
        <w:t>2.5. Датою повного виконання Замовником зобов’язань з оплати за цим Договором є дата зарахування 100% суми грошових коштів, вказаної у п. 2.1 цього Договору, на поточний рахунок Виконавця.</w:t>
      </w:r>
    </w:p>
    <w:p w14:paraId="4A0673B4" w14:textId="77777777" w:rsidR="00602B92" w:rsidRPr="006E1197" w:rsidRDefault="00602B92" w:rsidP="00602B92">
      <w:pPr>
        <w:suppressAutoHyphens/>
        <w:jc w:val="center"/>
        <w:rPr>
          <w:b/>
          <w:sz w:val="22"/>
          <w:szCs w:val="22"/>
          <w:lang w:val="uk-UA"/>
        </w:rPr>
      </w:pPr>
      <w:r w:rsidRPr="006E1197">
        <w:rPr>
          <w:b/>
          <w:sz w:val="22"/>
          <w:szCs w:val="22"/>
          <w:lang w:val="uk-UA"/>
        </w:rPr>
        <w:t>3. Обов’язки Сторін</w:t>
      </w:r>
    </w:p>
    <w:p w14:paraId="7491A76A" w14:textId="77777777" w:rsidR="00602B92" w:rsidRPr="006E1197" w:rsidRDefault="00602B92" w:rsidP="00602B92">
      <w:pPr>
        <w:suppressAutoHyphens/>
        <w:ind w:firstLine="567"/>
        <w:jc w:val="both"/>
        <w:rPr>
          <w:sz w:val="22"/>
          <w:szCs w:val="22"/>
          <w:lang w:val="uk-UA"/>
        </w:rPr>
      </w:pPr>
      <w:r w:rsidRPr="006E1197">
        <w:rPr>
          <w:sz w:val="22"/>
          <w:szCs w:val="22"/>
          <w:lang w:val="uk-UA"/>
        </w:rPr>
        <w:t xml:space="preserve">3.1. </w:t>
      </w:r>
      <w:r w:rsidRPr="006E1197">
        <w:rPr>
          <w:i/>
          <w:iCs/>
          <w:sz w:val="22"/>
          <w:szCs w:val="22"/>
          <w:lang w:val="uk-UA"/>
        </w:rPr>
        <w:t>Обов’язки Виконавця</w:t>
      </w:r>
      <w:r w:rsidRPr="006E1197">
        <w:rPr>
          <w:sz w:val="22"/>
          <w:szCs w:val="22"/>
          <w:lang w:val="uk-UA"/>
        </w:rPr>
        <w:t>:</w:t>
      </w:r>
    </w:p>
    <w:p w14:paraId="12D08459" w14:textId="77777777" w:rsidR="00602B92" w:rsidRPr="006E1197" w:rsidRDefault="00602B92" w:rsidP="00602B92">
      <w:pPr>
        <w:suppressAutoHyphens/>
        <w:ind w:firstLine="284"/>
        <w:jc w:val="both"/>
        <w:rPr>
          <w:sz w:val="22"/>
          <w:szCs w:val="22"/>
          <w:lang w:val="uk-UA"/>
        </w:rPr>
      </w:pPr>
      <w:r w:rsidRPr="006E1197">
        <w:rPr>
          <w:sz w:val="22"/>
          <w:szCs w:val="22"/>
          <w:lang w:val="uk-UA"/>
        </w:rPr>
        <w:t>3.1.1. Своєчасно та якісно надавати послуги з доступу.</w:t>
      </w:r>
    </w:p>
    <w:p w14:paraId="6472011A" w14:textId="77777777" w:rsidR="00602B92" w:rsidRPr="006E1197" w:rsidRDefault="00602B92" w:rsidP="00602B92">
      <w:pPr>
        <w:suppressAutoHyphens/>
        <w:ind w:firstLine="284"/>
        <w:jc w:val="both"/>
        <w:rPr>
          <w:sz w:val="22"/>
          <w:szCs w:val="22"/>
          <w:lang w:val="uk-UA"/>
        </w:rPr>
      </w:pPr>
      <w:r w:rsidRPr="006E1197">
        <w:rPr>
          <w:sz w:val="22"/>
          <w:szCs w:val="22"/>
          <w:lang w:val="uk-UA"/>
        </w:rPr>
        <w:t>3.1.2.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04A13A2F" w14:textId="77777777" w:rsidR="00602B92" w:rsidRPr="006E1197" w:rsidRDefault="00602B92" w:rsidP="00602B92">
      <w:pPr>
        <w:suppressAutoHyphens/>
        <w:ind w:firstLine="284"/>
        <w:jc w:val="both"/>
        <w:rPr>
          <w:sz w:val="22"/>
          <w:szCs w:val="22"/>
          <w:lang w:val="uk-UA"/>
        </w:rPr>
      </w:pPr>
      <w:r w:rsidRPr="006E1197">
        <w:rPr>
          <w:sz w:val="22"/>
          <w:szCs w:val="22"/>
          <w:lang w:val="uk-UA"/>
        </w:rPr>
        <w:t>3.1.3. Складати та передавати Замовнику Акти про виконання умов договору.</w:t>
      </w:r>
    </w:p>
    <w:p w14:paraId="3841DA97" w14:textId="77777777" w:rsidR="00602B92" w:rsidRPr="006E1197" w:rsidRDefault="00602B92" w:rsidP="00602B92">
      <w:pPr>
        <w:suppressAutoHyphens/>
        <w:ind w:firstLine="567"/>
        <w:jc w:val="both"/>
        <w:rPr>
          <w:sz w:val="22"/>
          <w:szCs w:val="22"/>
          <w:lang w:val="uk-UA"/>
        </w:rPr>
      </w:pPr>
      <w:r w:rsidRPr="006E1197">
        <w:rPr>
          <w:sz w:val="22"/>
          <w:szCs w:val="22"/>
          <w:lang w:val="uk-UA"/>
        </w:rPr>
        <w:t xml:space="preserve">3.2. </w:t>
      </w:r>
      <w:r w:rsidRPr="006E1197">
        <w:rPr>
          <w:i/>
          <w:iCs/>
          <w:sz w:val="22"/>
          <w:szCs w:val="22"/>
          <w:lang w:val="uk-UA"/>
        </w:rPr>
        <w:t>Обов’язки Замовника</w:t>
      </w:r>
      <w:r w:rsidRPr="006E1197">
        <w:rPr>
          <w:sz w:val="22"/>
          <w:szCs w:val="22"/>
          <w:lang w:val="uk-UA"/>
        </w:rPr>
        <w:t>:</w:t>
      </w:r>
    </w:p>
    <w:p w14:paraId="516BB190" w14:textId="77777777" w:rsidR="00602B92" w:rsidRPr="006E1197" w:rsidRDefault="00602B92" w:rsidP="00602B92">
      <w:pPr>
        <w:suppressAutoHyphens/>
        <w:ind w:firstLine="284"/>
        <w:jc w:val="both"/>
        <w:rPr>
          <w:sz w:val="22"/>
          <w:szCs w:val="22"/>
          <w:lang w:val="uk-UA"/>
        </w:rPr>
      </w:pPr>
      <w:r w:rsidRPr="006E1197">
        <w:rPr>
          <w:sz w:val="22"/>
          <w:szCs w:val="22"/>
          <w:lang w:val="uk-UA"/>
        </w:rPr>
        <w:t>3.2.1. Приймати від Виконавця послуги з доступу, що надаються згідно з цим Договором.</w:t>
      </w:r>
    </w:p>
    <w:p w14:paraId="2B87D1EE" w14:textId="77777777" w:rsidR="00602B92" w:rsidRPr="006E1197" w:rsidRDefault="00602B92" w:rsidP="00602B92">
      <w:pPr>
        <w:suppressAutoHyphens/>
        <w:ind w:firstLine="284"/>
        <w:jc w:val="both"/>
        <w:rPr>
          <w:sz w:val="22"/>
          <w:szCs w:val="22"/>
          <w:lang w:val="uk-UA"/>
        </w:rPr>
      </w:pPr>
      <w:r w:rsidRPr="006E1197">
        <w:rPr>
          <w:sz w:val="22"/>
          <w:szCs w:val="22"/>
          <w:lang w:val="uk-UA"/>
        </w:rPr>
        <w:lastRenderedPageBreak/>
        <w:t>3.2.2. Після контролю за достовірністю Актів про виконання умов договору, наданих Виконавцем, підписувати ці Акти у п’ятиденній строк з моменту їх одержання.</w:t>
      </w:r>
    </w:p>
    <w:p w14:paraId="148D7187" w14:textId="77777777" w:rsidR="00602B92" w:rsidRPr="006E1197" w:rsidRDefault="00602B92" w:rsidP="00602B92">
      <w:pPr>
        <w:suppressAutoHyphens/>
        <w:ind w:firstLine="284"/>
        <w:jc w:val="both"/>
        <w:rPr>
          <w:sz w:val="22"/>
          <w:szCs w:val="22"/>
          <w:lang w:val="uk-UA"/>
        </w:rPr>
      </w:pPr>
      <w:r w:rsidRPr="006E1197">
        <w:rPr>
          <w:sz w:val="22"/>
          <w:szCs w:val="22"/>
          <w:lang w:val="uk-UA"/>
        </w:rPr>
        <w:t>3.2.3. Оплачувати послуги з доступу, на умовах та у порядку, зазначеному у р. 2 цього Договору.</w:t>
      </w:r>
    </w:p>
    <w:p w14:paraId="39CE9901" w14:textId="77777777" w:rsidR="00602B92" w:rsidRPr="006E1197" w:rsidRDefault="00602B92" w:rsidP="00602B92">
      <w:pPr>
        <w:suppressAutoHyphens/>
        <w:jc w:val="center"/>
        <w:rPr>
          <w:b/>
          <w:sz w:val="22"/>
          <w:szCs w:val="22"/>
          <w:lang w:val="uk-UA"/>
        </w:rPr>
      </w:pPr>
      <w:r w:rsidRPr="006E1197">
        <w:rPr>
          <w:b/>
          <w:sz w:val="22"/>
          <w:szCs w:val="22"/>
          <w:lang w:val="uk-UA"/>
        </w:rPr>
        <w:t>4. Відповідальність Сторін</w:t>
      </w:r>
    </w:p>
    <w:p w14:paraId="45D08AB6" w14:textId="77777777" w:rsidR="00602B92" w:rsidRPr="006E1197" w:rsidRDefault="00602B92" w:rsidP="00602B92">
      <w:pPr>
        <w:suppressAutoHyphens/>
        <w:ind w:firstLine="567"/>
        <w:jc w:val="both"/>
        <w:rPr>
          <w:sz w:val="22"/>
          <w:szCs w:val="22"/>
          <w:lang w:val="uk-UA"/>
        </w:rPr>
      </w:pPr>
      <w:r w:rsidRPr="006E1197">
        <w:rPr>
          <w:sz w:val="22"/>
          <w:szCs w:val="22"/>
          <w:lang w:val="uk-UA"/>
        </w:rPr>
        <w:t>4.1.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C664FAA"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2C0B2E03"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 xml:space="preserve">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10 календарних днів з дати настання таких обставин повідомити у письмовій формі іншу Сторону та протягом двох робочих днів після отримання надати </w:t>
      </w:r>
      <w:r w:rsidRPr="006E1197">
        <w:rPr>
          <w:noProof/>
          <w:sz w:val="22"/>
          <w:szCs w:val="22"/>
          <w:lang w:val="uk-UA"/>
        </w:rPr>
        <w:t>сертифікат Торгово-промислової палати України</w:t>
      </w:r>
      <w:r w:rsidRPr="006E1197">
        <w:rPr>
          <w:rFonts w:eastAsia="Calibri"/>
          <w:sz w:val="22"/>
          <w:szCs w:val="22"/>
          <w:lang w:val="uk-UA" w:eastAsia="en-US"/>
        </w:rPr>
        <w:t>.</w:t>
      </w:r>
    </w:p>
    <w:p w14:paraId="43F0E94E"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 xml:space="preserve">4.4. За одноразову необґрунтовану відмову від виконання своїх зобов’язань винна Сторона на вимогу іншої Сторони сплачує на користь такої Сторони штраф у розмірі 0,1% від вартості </w:t>
      </w:r>
      <w:r w:rsidRPr="006E1197">
        <w:rPr>
          <w:sz w:val="22"/>
          <w:szCs w:val="22"/>
          <w:lang w:val="uk-UA"/>
        </w:rPr>
        <w:t>послуги з доступу</w:t>
      </w:r>
      <w:r w:rsidRPr="006E1197">
        <w:rPr>
          <w:rFonts w:eastAsia="Calibri"/>
          <w:sz w:val="22"/>
          <w:szCs w:val="22"/>
          <w:lang w:val="uk-UA" w:eastAsia="en-US"/>
        </w:rPr>
        <w:t xml:space="preserve"> за один розрахунковий період.</w:t>
      </w:r>
    </w:p>
    <w:p w14:paraId="0C33225E"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 xml:space="preserve">4.5. За недотримання строків оплати </w:t>
      </w:r>
      <w:r w:rsidRPr="006E1197">
        <w:rPr>
          <w:sz w:val="22"/>
          <w:szCs w:val="22"/>
          <w:lang w:val="uk-UA"/>
        </w:rPr>
        <w:t>послуг з доступу</w:t>
      </w:r>
      <w:r w:rsidRPr="006E1197">
        <w:rPr>
          <w:rFonts w:eastAsia="Calibri"/>
          <w:sz w:val="22"/>
          <w:szCs w:val="22"/>
          <w:lang w:val="uk-UA" w:eastAsia="en-US"/>
        </w:rPr>
        <w:t>, зазначених у п. 2.4 цього Договору, Замовник сплачує Виконавцю пеню у розмірі 1 % від суми прострочення (але не більше подвійної облікової ставки НБУ, що діяла протягом усього періоду прострочення), за кожний день прострочення за увесь період прострочення.</w:t>
      </w:r>
    </w:p>
    <w:p w14:paraId="1E6314E8" w14:textId="77777777" w:rsidR="00602B92" w:rsidRPr="006E1197" w:rsidRDefault="00602B92" w:rsidP="00602B92">
      <w:pPr>
        <w:pStyle w:val="a4"/>
        <w:shd w:val="clear" w:color="auto" w:fill="FFFFFF"/>
        <w:suppressAutoHyphens/>
        <w:spacing w:after="0"/>
        <w:jc w:val="center"/>
        <w:textAlignment w:val="baseline"/>
        <w:rPr>
          <w:rFonts w:eastAsia="Calibri"/>
          <w:b/>
          <w:sz w:val="22"/>
          <w:szCs w:val="22"/>
          <w:lang w:val="uk-UA" w:eastAsia="en-US"/>
        </w:rPr>
      </w:pPr>
      <w:r w:rsidRPr="006E1197">
        <w:rPr>
          <w:rFonts w:eastAsia="Calibri"/>
          <w:b/>
          <w:sz w:val="22"/>
          <w:szCs w:val="22"/>
          <w:lang w:val="uk-UA" w:eastAsia="en-US"/>
        </w:rPr>
        <w:t>5. Термін дії Договору та інші умови</w:t>
      </w:r>
    </w:p>
    <w:p w14:paraId="5A25BCCE" w14:textId="637DFC48"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 xml:space="preserve">5.1. Цей Договір набирає чинності з 01 </w:t>
      </w:r>
      <w:r>
        <w:rPr>
          <w:rFonts w:eastAsia="Calibri"/>
          <w:sz w:val="22"/>
          <w:szCs w:val="22"/>
          <w:lang w:val="uk-UA" w:eastAsia="en-US"/>
        </w:rPr>
        <w:t>березня</w:t>
      </w:r>
      <w:r w:rsidRPr="006E1197">
        <w:rPr>
          <w:rFonts w:eastAsia="Calibri"/>
          <w:sz w:val="22"/>
          <w:szCs w:val="22"/>
          <w:lang w:val="uk-UA" w:eastAsia="en-US"/>
        </w:rPr>
        <w:t xml:space="preserve"> 202</w:t>
      </w:r>
      <w:r>
        <w:rPr>
          <w:rFonts w:eastAsia="Calibri"/>
          <w:sz w:val="22"/>
          <w:szCs w:val="22"/>
          <w:lang w:val="uk-UA" w:eastAsia="en-US"/>
        </w:rPr>
        <w:t>4</w:t>
      </w:r>
      <w:r w:rsidRPr="006E1197">
        <w:rPr>
          <w:rFonts w:eastAsia="Calibri"/>
          <w:sz w:val="22"/>
          <w:szCs w:val="22"/>
          <w:lang w:val="uk-UA" w:eastAsia="en-US"/>
        </w:rPr>
        <w:t xml:space="preserve"> року і діє до 31 грудня 202</w:t>
      </w:r>
      <w:r>
        <w:rPr>
          <w:rFonts w:eastAsia="Calibri"/>
          <w:sz w:val="22"/>
          <w:szCs w:val="22"/>
          <w:lang w:val="uk-UA" w:eastAsia="en-US"/>
        </w:rPr>
        <w:t>4</w:t>
      </w:r>
      <w:r w:rsidRPr="006E1197">
        <w:rPr>
          <w:rFonts w:eastAsia="Calibri"/>
          <w:sz w:val="22"/>
          <w:szCs w:val="22"/>
          <w:lang w:val="uk-UA" w:eastAsia="en-US"/>
        </w:rPr>
        <w:t xml:space="preserve"> року, але у будь-якому випадку до моменту належного та повного виконання Сторонами своїх зобов’язань за цим Договором.</w:t>
      </w:r>
    </w:p>
    <w:p w14:paraId="74C91156"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5.2. Умови цього Договору можуть бути змінені за взаємною згодою Сторін з обов’язковим складанням письмового документу.</w:t>
      </w:r>
    </w:p>
    <w:p w14:paraId="60AAFCA9"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5.3. Цей Договір може бути розірваний за взаємною згодою Сторін. Одностороннє розірвання цього Договору можливе лише у випадках, передбачених цим Договором та законодавством України.</w:t>
      </w:r>
    </w:p>
    <w:p w14:paraId="1AABD94E"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 xml:space="preserve">5.4. Кожна із Сторін має право розірвати цей Договір в односторонньому порядку, попередньо письмово повідомити про це другу Сторону за 20 </w:t>
      </w:r>
      <w:r w:rsidRPr="006E1197">
        <w:rPr>
          <w:sz w:val="22"/>
          <w:szCs w:val="22"/>
          <w:lang w:val="uk-UA"/>
        </w:rPr>
        <w:t xml:space="preserve">(двадцять) </w:t>
      </w:r>
      <w:r w:rsidRPr="006E1197">
        <w:rPr>
          <w:rFonts w:eastAsia="Calibri"/>
          <w:sz w:val="22"/>
          <w:szCs w:val="22"/>
          <w:lang w:val="uk-UA" w:eastAsia="en-US"/>
        </w:rPr>
        <w:t>календарних днів.</w:t>
      </w:r>
    </w:p>
    <w:p w14:paraId="4DBC4D1E"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5.5.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у судовому порядку за встановленою підвідомчістю та підсудністю такого спору, визначеному відповідним чинним законодавством України.</w:t>
      </w:r>
    </w:p>
    <w:p w14:paraId="4BE75230" w14:textId="77777777" w:rsidR="00602B92" w:rsidRPr="006E1197" w:rsidRDefault="00602B92" w:rsidP="00602B92">
      <w:pPr>
        <w:pStyle w:val="a4"/>
        <w:shd w:val="clear" w:color="auto" w:fill="FFFFFF"/>
        <w:suppressAutoHyphens/>
        <w:spacing w:after="0"/>
        <w:ind w:firstLine="567"/>
        <w:jc w:val="both"/>
        <w:textAlignment w:val="baseline"/>
        <w:rPr>
          <w:rFonts w:eastAsia="Calibri"/>
          <w:sz w:val="22"/>
          <w:szCs w:val="22"/>
          <w:lang w:val="uk-UA" w:eastAsia="en-US"/>
        </w:rPr>
      </w:pPr>
      <w:r w:rsidRPr="006E1197">
        <w:rPr>
          <w:rFonts w:eastAsia="Calibri"/>
          <w:sz w:val="22"/>
          <w:szCs w:val="22"/>
          <w:lang w:val="uk-UA" w:eastAsia="en-US"/>
        </w:rPr>
        <w:t>5.6. Цей Договір укладено у двох оригінальних примірниках, по одному для кожної із Сторін.</w:t>
      </w:r>
    </w:p>
    <w:p w14:paraId="0448D08F" w14:textId="77777777" w:rsidR="00602B92" w:rsidRPr="006E1197" w:rsidRDefault="00602B92" w:rsidP="00602B92">
      <w:pPr>
        <w:pStyle w:val="a4"/>
        <w:shd w:val="clear" w:color="auto" w:fill="FFFFFF"/>
        <w:suppressAutoHyphens/>
        <w:spacing w:after="0"/>
        <w:ind w:firstLine="567"/>
        <w:contextualSpacing/>
        <w:jc w:val="both"/>
        <w:textAlignment w:val="baseline"/>
        <w:rPr>
          <w:rFonts w:eastAsia="Calibri"/>
          <w:sz w:val="22"/>
          <w:szCs w:val="22"/>
          <w:lang w:val="uk-UA" w:eastAsia="en-US"/>
        </w:rPr>
      </w:pPr>
      <w:r w:rsidRPr="006E1197">
        <w:rPr>
          <w:rFonts w:eastAsia="Calibri"/>
          <w:sz w:val="22"/>
          <w:szCs w:val="22"/>
          <w:lang w:val="uk-UA" w:eastAsia="en-US"/>
        </w:rPr>
        <w:t>5.7. У випадках, не передбачених цим Договором, Сторони керуються нормами чинного законодавства.</w:t>
      </w:r>
    </w:p>
    <w:p w14:paraId="7875BE9C" w14:textId="77777777" w:rsidR="00602B92" w:rsidRPr="006E1197" w:rsidRDefault="00602B92" w:rsidP="00602B92">
      <w:pPr>
        <w:pStyle w:val="a4"/>
        <w:shd w:val="clear" w:color="auto" w:fill="FFFFFF"/>
        <w:suppressAutoHyphens/>
        <w:spacing w:after="0"/>
        <w:ind w:firstLine="567"/>
        <w:contextualSpacing/>
        <w:jc w:val="both"/>
        <w:textAlignment w:val="baseline"/>
        <w:rPr>
          <w:rFonts w:eastAsia="Calibri"/>
          <w:sz w:val="22"/>
          <w:szCs w:val="22"/>
          <w:lang w:val="uk-UA" w:eastAsia="en-US"/>
        </w:rPr>
      </w:pPr>
      <w:r w:rsidRPr="006E1197">
        <w:rPr>
          <w:rFonts w:eastAsia="Calibri"/>
          <w:sz w:val="22"/>
          <w:szCs w:val="22"/>
          <w:lang w:val="uk-UA" w:eastAsia="en-US"/>
        </w:rPr>
        <w:t>5.8.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FF6215D" w14:textId="77777777" w:rsidR="00602B92" w:rsidRPr="006E1197" w:rsidRDefault="00602B92" w:rsidP="00602B92">
      <w:pPr>
        <w:pStyle w:val="12"/>
        <w:tabs>
          <w:tab w:val="left" w:pos="426"/>
        </w:tabs>
        <w:jc w:val="center"/>
        <w:rPr>
          <w:rFonts w:ascii="Times New Roman" w:eastAsia="Calibri" w:hAnsi="Times New Roman"/>
          <w:b/>
        </w:rPr>
      </w:pPr>
      <w:r w:rsidRPr="006E1197">
        <w:rPr>
          <w:rFonts w:ascii="Times New Roman" w:eastAsia="Calibri" w:hAnsi="Times New Roman"/>
          <w:b/>
        </w:rPr>
        <w:t>6. Місцезнаходження та реквізити Сторін</w:t>
      </w:r>
    </w:p>
    <w:p w14:paraId="406ABE28" w14:textId="77777777" w:rsidR="00602B92" w:rsidRPr="006E1197" w:rsidRDefault="00602B92" w:rsidP="00602B92">
      <w:pPr>
        <w:pStyle w:val="12"/>
        <w:ind w:left="360"/>
        <w:rPr>
          <w:rFonts w:ascii="Times New Roman" w:hAnsi="Times New Roman"/>
          <w:b/>
        </w:rPr>
      </w:pPr>
    </w:p>
    <w:tbl>
      <w:tblPr>
        <w:tblW w:w="9498" w:type="dxa"/>
        <w:tblLook w:val="04A0" w:firstRow="1" w:lastRow="0" w:firstColumn="1" w:lastColumn="0" w:noHBand="0" w:noVBand="1"/>
      </w:tblPr>
      <w:tblGrid>
        <w:gridCol w:w="4536"/>
        <w:gridCol w:w="4962"/>
      </w:tblGrid>
      <w:tr w:rsidR="00602B92" w:rsidRPr="00E731B7" w14:paraId="15AFCEB4" w14:textId="77777777" w:rsidTr="00B86CF6">
        <w:tc>
          <w:tcPr>
            <w:tcW w:w="4536" w:type="dxa"/>
            <w:shd w:val="clear" w:color="auto" w:fill="auto"/>
          </w:tcPr>
          <w:p w14:paraId="5A0DE869" w14:textId="77777777" w:rsidR="00602B92" w:rsidRPr="00E731B7" w:rsidRDefault="00602B92" w:rsidP="00B86CF6">
            <w:pPr>
              <w:tabs>
                <w:tab w:val="left" w:pos="567"/>
              </w:tabs>
              <w:suppressAutoHyphens/>
              <w:snapToGrid w:val="0"/>
              <w:jc w:val="center"/>
              <w:rPr>
                <w:b/>
                <w:sz w:val="22"/>
                <w:szCs w:val="22"/>
                <w:lang w:val="uk-UA" w:eastAsia="ar-SA"/>
              </w:rPr>
            </w:pPr>
            <w:r w:rsidRPr="00E731B7">
              <w:rPr>
                <w:b/>
                <w:sz w:val="22"/>
                <w:szCs w:val="22"/>
                <w:lang w:val="uk-UA" w:eastAsia="ar-SA"/>
              </w:rPr>
              <w:t>ЗАМОВНИК:</w:t>
            </w:r>
          </w:p>
          <w:p w14:paraId="6299E2DA" w14:textId="77777777" w:rsidR="00602B92" w:rsidRPr="00E731B7" w:rsidRDefault="00602B92" w:rsidP="00B86CF6">
            <w:pPr>
              <w:rPr>
                <w:sz w:val="22"/>
                <w:szCs w:val="22"/>
                <w:lang w:val="uk-UA" w:eastAsia="en-US"/>
              </w:rPr>
            </w:pPr>
          </w:p>
        </w:tc>
        <w:tc>
          <w:tcPr>
            <w:tcW w:w="4962" w:type="dxa"/>
            <w:shd w:val="clear" w:color="auto" w:fill="auto"/>
          </w:tcPr>
          <w:p w14:paraId="44A0B5D0" w14:textId="77777777" w:rsidR="00602B92" w:rsidRPr="00E731B7" w:rsidRDefault="00602B92" w:rsidP="00B86CF6">
            <w:pPr>
              <w:tabs>
                <w:tab w:val="left" w:pos="567"/>
              </w:tabs>
              <w:suppressAutoHyphens/>
              <w:snapToGrid w:val="0"/>
              <w:jc w:val="center"/>
              <w:rPr>
                <w:b/>
                <w:sz w:val="22"/>
                <w:szCs w:val="22"/>
                <w:lang w:val="uk-UA" w:eastAsia="ar-SA"/>
              </w:rPr>
            </w:pPr>
            <w:r w:rsidRPr="00E731B7">
              <w:rPr>
                <w:b/>
                <w:sz w:val="22"/>
                <w:szCs w:val="22"/>
                <w:lang w:val="uk-UA" w:eastAsia="ar-SA"/>
              </w:rPr>
              <w:t>ВИКОНАВЕЦЬ:</w:t>
            </w:r>
          </w:p>
          <w:p w14:paraId="646BC6A0" w14:textId="77777777" w:rsidR="00602B92" w:rsidRPr="00E731B7" w:rsidRDefault="00602B92" w:rsidP="00B86CF6">
            <w:pPr>
              <w:rPr>
                <w:sz w:val="22"/>
                <w:szCs w:val="22"/>
                <w:lang w:val="uk-UA" w:eastAsia="en-US"/>
              </w:rPr>
            </w:pPr>
          </w:p>
        </w:tc>
      </w:tr>
      <w:tr w:rsidR="00602B92" w:rsidRPr="00E731B7" w14:paraId="62CBC28B" w14:textId="77777777" w:rsidTr="00B86CF6">
        <w:tc>
          <w:tcPr>
            <w:tcW w:w="4536" w:type="dxa"/>
            <w:shd w:val="clear" w:color="auto" w:fill="auto"/>
            <w:hideMark/>
          </w:tcPr>
          <w:p w14:paraId="14999C6B" w14:textId="77777777" w:rsidR="00602B92" w:rsidRPr="00E731B7" w:rsidRDefault="00602B92" w:rsidP="00B86CF6">
            <w:pPr>
              <w:suppressAutoHyphens/>
              <w:jc w:val="both"/>
              <w:rPr>
                <w:b/>
                <w:color w:val="000000"/>
                <w:sz w:val="22"/>
                <w:szCs w:val="22"/>
                <w:lang w:val="uk-UA" w:eastAsia="en-US"/>
              </w:rPr>
            </w:pPr>
            <w:r w:rsidRPr="00E731B7">
              <w:rPr>
                <w:b/>
                <w:color w:val="000000"/>
                <w:sz w:val="22"/>
                <w:szCs w:val="22"/>
                <w:lang w:val="uk-UA" w:eastAsia="en-US"/>
              </w:rPr>
              <w:t>ТОВ «__________»</w:t>
            </w:r>
          </w:p>
          <w:p w14:paraId="64128438" w14:textId="77777777" w:rsidR="00602B92" w:rsidRPr="00E731B7" w:rsidRDefault="00602B92" w:rsidP="00B86CF6">
            <w:pPr>
              <w:suppressAutoHyphens/>
              <w:jc w:val="both"/>
              <w:rPr>
                <w:color w:val="000000"/>
                <w:sz w:val="22"/>
                <w:szCs w:val="22"/>
                <w:lang w:val="uk-UA" w:eastAsia="en-US"/>
              </w:rPr>
            </w:pPr>
            <w:r w:rsidRPr="00E731B7">
              <w:rPr>
                <w:color w:val="000000"/>
                <w:sz w:val="22"/>
                <w:szCs w:val="22"/>
                <w:lang w:val="uk-UA" w:eastAsia="en-US"/>
              </w:rPr>
              <w:t xml:space="preserve">Адреса: </w:t>
            </w:r>
          </w:p>
          <w:p w14:paraId="35673FE5" w14:textId="77777777" w:rsidR="00602B92" w:rsidRPr="00E731B7" w:rsidRDefault="00602B92" w:rsidP="00B86CF6">
            <w:pPr>
              <w:suppressAutoHyphens/>
              <w:jc w:val="both"/>
              <w:rPr>
                <w:color w:val="000000"/>
                <w:sz w:val="22"/>
                <w:szCs w:val="22"/>
                <w:lang w:val="uk-UA" w:eastAsia="en-US"/>
              </w:rPr>
            </w:pPr>
          </w:p>
        </w:tc>
        <w:tc>
          <w:tcPr>
            <w:tcW w:w="4962" w:type="dxa"/>
            <w:shd w:val="clear" w:color="auto" w:fill="auto"/>
          </w:tcPr>
          <w:p w14:paraId="550B0F14" w14:textId="77777777" w:rsidR="00602B92" w:rsidRPr="00E731B7" w:rsidRDefault="00602B92" w:rsidP="00B86CF6">
            <w:pPr>
              <w:suppressAutoHyphens/>
              <w:jc w:val="both"/>
              <w:rPr>
                <w:b/>
                <w:sz w:val="22"/>
                <w:szCs w:val="22"/>
                <w:lang w:val="uk-UA" w:eastAsia="ar-SA"/>
              </w:rPr>
            </w:pPr>
            <w:r w:rsidRPr="00E731B7">
              <w:rPr>
                <w:b/>
                <w:sz w:val="22"/>
                <w:szCs w:val="22"/>
                <w:lang w:val="uk-UA" w:eastAsia="ar-SA"/>
              </w:rPr>
              <w:t>ТОВ «__________»</w:t>
            </w:r>
          </w:p>
          <w:p w14:paraId="244E58C5" w14:textId="77777777" w:rsidR="00602B92" w:rsidRPr="00E731B7" w:rsidRDefault="00602B92" w:rsidP="00B86CF6">
            <w:pPr>
              <w:suppressAutoHyphens/>
              <w:jc w:val="both"/>
              <w:rPr>
                <w:sz w:val="22"/>
                <w:szCs w:val="22"/>
                <w:lang w:val="uk-UA" w:eastAsia="ar-SA"/>
              </w:rPr>
            </w:pPr>
            <w:r w:rsidRPr="00E731B7">
              <w:rPr>
                <w:sz w:val="22"/>
                <w:szCs w:val="22"/>
                <w:lang w:val="uk-UA" w:eastAsia="ar-SA"/>
              </w:rPr>
              <w:t xml:space="preserve">Адреса: </w:t>
            </w:r>
          </w:p>
          <w:p w14:paraId="6CB0439F" w14:textId="77777777" w:rsidR="00602B92" w:rsidRPr="00E731B7" w:rsidRDefault="00602B92" w:rsidP="00B86CF6">
            <w:pPr>
              <w:suppressAutoHyphens/>
              <w:jc w:val="both"/>
              <w:rPr>
                <w:sz w:val="22"/>
                <w:szCs w:val="22"/>
                <w:lang w:val="uk-UA" w:eastAsia="ar-SA"/>
              </w:rPr>
            </w:pPr>
          </w:p>
          <w:p w14:paraId="411F2498" w14:textId="77777777" w:rsidR="00602B92" w:rsidRPr="00E731B7" w:rsidRDefault="00602B92" w:rsidP="00B86CF6">
            <w:pPr>
              <w:suppressAutoHyphens/>
              <w:jc w:val="both"/>
              <w:rPr>
                <w:sz w:val="22"/>
                <w:szCs w:val="22"/>
                <w:lang w:val="uk-UA" w:eastAsia="en-US"/>
              </w:rPr>
            </w:pPr>
          </w:p>
        </w:tc>
      </w:tr>
      <w:tr w:rsidR="00602B92" w:rsidRPr="00E731B7" w14:paraId="06200AFC" w14:textId="77777777" w:rsidTr="00B86CF6">
        <w:tc>
          <w:tcPr>
            <w:tcW w:w="4536" w:type="dxa"/>
            <w:shd w:val="clear" w:color="auto" w:fill="auto"/>
          </w:tcPr>
          <w:p w14:paraId="3DF33AD8" w14:textId="77777777" w:rsidR="00602B92" w:rsidRPr="00E731B7" w:rsidRDefault="00602B92" w:rsidP="00B86CF6">
            <w:pPr>
              <w:tabs>
                <w:tab w:val="left" w:pos="5139"/>
              </w:tabs>
              <w:suppressAutoHyphens/>
              <w:ind w:right="333"/>
              <w:jc w:val="both"/>
              <w:rPr>
                <w:b/>
                <w:bCs/>
                <w:sz w:val="22"/>
                <w:szCs w:val="22"/>
                <w:lang w:val="uk-UA" w:eastAsia="en-US"/>
              </w:rPr>
            </w:pPr>
            <w:r w:rsidRPr="00E731B7">
              <w:rPr>
                <w:b/>
                <w:bCs/>
                <w:sz w:val="22"/>
                <w:szCs w:val="22"/>
                <w:lang w:val="uk-UA" w:eastAsia="en-US"/>
              </w:rPr>
              <w:t>Директор</w:t>
            </w:r>
          </w:p>
          <w:p w14:paraId="37253CF9" w14:textId="77777777" w:rsidR="00602B92" w:rsidRPr="00E731B7" w:rsidRDefault="00602B92" w:rsidP="00B86CF6">
            <w:pPr>
              <w:tabs>
                <w:tab w:val="left" w:pos="5139"/>
              </w:tabs>
              <w:suppressAutoHyphens/>
              <w:ind w:right="333"/>
              <w:jc w:val="both"/>
              <w:rPr>
                <w:b/>
                <w:bCs/>
                <w:sz w:val="22"/>
                <w:szCs w:val="22"/>
                <w:lang w:val="uk-UA" w:eastAsia="en-US"/>
              </w:rPr>
            </w:pPr>
          </w:p>
          <w:p w14:paraId="2AA0E165" w14:textId="77777777" w:rsidR="00602B92" w:rsidRPr="00E731B7" w:rsidRDefault="00602B92" w:rsidP="00B86CF6">
            <w:pPr>
              <w:tabs>
                <w:tab w:val="left" w:pos="5139"/>
              </w:tabs>
              <w:suppressAutoHyphens/>
              <w:ind w:right="333"/>
              <w:jc w:val="both"/>
              <w:rPr>
                <w:bCs/>
                <w:sz w:val="22"/>
                <w:szCs w:val="22"/>
                <w:lang w:val="uk-UA" w:eastAsia="en-US"/>
              </w:rPr>
            </w:pPr>
            <w:r w:rsidRPr="00E731B7">
              <w:rPr>
                <w:b/>
                <w:bCs/>
                <w:sz w:val="22"/>
                <w:szCs w:val="22"/>
                <w:lang w:val="uk-UA" w:eastAsia="en-US"/>
              </w:rPr>
              <w:t xml:space="preserve">________________ </w:t>
            </w:r>
            <w:r w:rsidRPr="00E731B7">
              <w:rPr>
                <w:b/>
                <w:sz w:val="22"/>
                <w:szCs w:val="22"/>
                <w:lang w:val="uk-UA" w:eastAsia="en-US"/>
              </w:rPr>
              <w:t xml:space="preserve"> </w:t>
            </w:r>
            <w:r w:rsidRPr="00E731B7">
              <w:rPr>
                <w:sz w:val="22"/>
                <w:szCs w:val="22"/>
                <w:lang w:val="uk-UA" w:eastAsia="en-US"/>
              </w:rPr>
              <w:t xml:space="preserve">   </w:t>
            </w:r>
            <w:r w:rsidRPr="00E731B7">
              <w:rPr>
                <w:b/>
                <w:bCs/>
                <w:sz w:val="22"/>
                <w:szCs w:val="22"/>
                <w:lang w:val="uk-UA" w:eastAsia="en-US"/>
              </w:rPr>
              <w:t xml:space="preserve">  ___________ </w:t>
            </w:r>
          </w:p>
          <w:p w14:paraId="78F3975C" w14:textId="77777777" w:rsidR="00602B92" w:rsidRPr="00E731B7" w:rsidRDefault="00602B92" w:rsidP="00B86CF6">
            <w:pPr>
              <w:suppressAutoHyphens/>
              <w:jc w:val="both"/>
              <w:rPr>
                <w:b/>
                <w:sz w:val="22"/>
                <w:szCs w:val="22"/>
                <w:lang w:val="uk-UA" w:eastAsia="en-US"/>
              </w:rPr>
            </w:pPr>
            <w:r w:rsidRPr="00E731B7">
              <w:rPr>
                <w:b/>
                <w:bCs/>
                <w:sz w:val="22"/>
                <w:szCs w:val="22"/>
                <w:lang w:val="uk-UA" w:eastAsia="en-US"/>
              </w:rPr>
              <w:t>м.п.</w:t>
            </w:r>
          </w:p>
        </w:tc>
        <w:tc>
          <w:tcPr>
            <w:tcW w:w="4962" w:type="dxa"/>
            <w:shd w:val="clear" w:color="auto" w:fill="auto"/>
          </w:tcPr>
          <w:p w14:paraId="3402A30D" w14:textId="77777777" w:rsidR="00602B92" w:rsidRPr="00E731B7" w:rsidRDefault="00602B92" w:rsidP="00B86CF6">
            <w:pPr>
              <w:widowControl w:val="0"/>
              <w:rPr>
                <w:b/>
                <w:sz w:val="22"/>
                <w:szCs w:val="22"/>
                <w:lang w:val="uk-UA" w:eastAsia="en-US"/>
              </w:rPr>
            </w:pPr>
            <w:r w:rsidRPr="00E731B7">
              <w:rPr>
                <w:b/>
                <w:sz w:val="22"/>
                <w:szCs w:val="22"/>
                <w:lang w:val="uk-UA" w:eastAsia="en-US"/>
              </w:rPr>
              <w:t>Директор</w:t>
            </w:r>
          </w:p>
          <w:p w14:paraId="643602A9" w14:textId="77777777" w:rsidR="00602B92" w:rsidRPr="00E731B7" w:rsidRDefault="00602B92" w:rsidP="00B86CF6">
            <w:pPr>
              <w:widowControl w:val="0"/>
              <w:rPr>
                <w:b/>
                <w:sz w:val="22"/>
                <w:szCs w:val="22"/>
                <w:lang w:val="uk-UA" w:eastAsia="en-US"/>
              </w:rPr>
            </w:pPr>
          </w:p>
          <w:p w14:paraId="0710FE8A" w14:textId="77777777" w:rsidR="00602B92" w:rsidRPr="00E731B7" w:rsidRDefault="00602B92" w:rsidP="00B86CF6">
            <w:pPr>
              <w:widowControl w:val="0"/>
              <w:rPr>
                <w:b/>
                <w:sz w:val="22"/>
                <w:szCs w:val="22"/>
                <w:lang w:val="uk-UA" w:eastAsia="en-US"/>
              </w:rPr>
            </w:pPr>
            <w:r w:rsidRPr="00E731B7">
              <w:rPr>
                <w:b/>
                <w:sz w:val="22"/>
                <w:szCs w:val="22"/>
                <w:lang w:val="uk-UA" w:eastAsia="en-US"/>
              </w:rPr>
              <w:t>___________________    ___________</w:t>
            </w:r>
          </w:p>
          <w:p w14:paraId="3201B240" w14:textId="77777777" w:rsidR="00602B92" w:rsidRPr="00E731B7" w:rsidRDefault="00602B92" w:rsidP="00B86CF6">
            <w:pPr>
              <w:widowControl w:val="0"/>
              <w:rPr>
                <w:b/>
                <w:sz w:val="22"/>
                <w:szCs w:val="22"/>
                <w:lang w:val="uk-UA" w:eastAsia="en-US"/>
              </w:rPr>
            </w:pPr>
            <w:r w:rsidRPr="00E731B7">
              <w:rPr>
                <w:b/>
                <w:sz w:val="22"/>
                <w:szCs w:val="22"/>
                <w:lang w:val="uk-UA" w:eastAsia="en-US"/>
              </w:rPr>
              <w:t>м.п.</w:t>
            </w:r>
          </w:p>
        </w:tc>
      </w:tr>
    </w:tbl>
    <w:p w14:paraId="1A0E4C3F" w14:textId="77777777" w:rsidR="002B2063" w:rsidRPr="006E1197" w:rsidRDefault="002B2063" w:rsidP="002B2063">
      <w:pPr>
        <w:rPr>
          <w:sz w:val="22"/>
          <w:szCs w:val="22"/>
          <w:lang w:val="uk-UA"/>
        </w:rPr>
      </w:pPr>
    </w:p>
    <w:sectPr w:rsidR="002B2063" w:rsidRPr="006E1197"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Ўю???????|???"/>
    <w:panose1 w:val="02030600000101010101"/>
    <w:charset w:val="81"/>
    <w:family w:val="auto"/>
    <w:notTrueType/>
    <w:pitch w:val="fixed"/>
    <w:sig w:usb0="00000001" w:usb1="09060000" w:usb2="00000010" w:usb3="00000000" w:csb0="00080000" w:csb1="00000000"/>
  </w:font>
  <w:font w:name="Antiqua">
    <w:altName w:val="Courier New"/>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1">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2">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8DB5A78"/>
    <w:multiLevelType w:val="hybridMultilevel"/>
    <w:tmpl w:val="C89EE1D0"/>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A0125E"/>
    <w:multiLevelType w:val="hybridMultilevel"/>
    <w:tmpl w:val="C252791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8">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9">
    <w:nsid w:val="2CF329DC"/>
    <w:multiLevelType w:val="hybridMultilevel"/>
    <w:tmpl w:val="107E0AA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1">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2">
    <w:nsid w:val="32620A79"/>
    <w:multiLevelType w:val="hybridMultilevel"/>
    <w:tmpl w:val="0C5210F0"/>
    <w:lvl w:ilvl="0" w:tplc="041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5">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8">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0">
    <w:nsid w:val="6F6D6A6E"/>
    <w:multiLevelType w:val="hybridMultilevel"/>
    <w:tmpl w:val="7AACA87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72741758"/>
    <w:multiLevelType w:val="hybridMultilevel"/>
    <w:tmpl w:val="728CFCF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2"/>
  </w:num>
  <w:num w:numId="5">
    <w:abstractNumId w:val="20"/>
  </w:num>
  <w:num w:numId="6">
    <w:abstractNumId w:val="3"/>
  </w:num>
  <w:num w:numId="7">
    <w:abstractNumId w:val="12"/>
  </w:num>
  <w:num w:numId="8">
    <w:abstractNumId w:val="6"/>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19"/>
  </w:num>
  <w:num w:numId="23">
    <w:abstractNumId w:val="4"/>
  </w:num>
  <w:num w:numId="24">
    <w:abstractNumId w:val="8"/>
  </w:num>
  <w:num w:numId="25">
    <w:abstractNumId w:val="7"/>
  </w:num>
  <w:num w:numId="26">
    <w:abstractNumId w:val="17"/>
  </w:num>
  <w:num w:numId="27">
    <w:abstractNumId w:val="13"/>
  </w:num>
  <w:num w:numId="28">
    <w:abstractNumId w:val="15"/>
  </w:num>
  <w:num w:numId="29">
    <w:abstractNumId w:val="14"/>
  </w:num>
  <w:num w:numId="30">
    <w:abstractNumId w:val="18"/>
  </w:num>
  <w:num w:numId="31">
    <w:abstractNumId w:val="5"/>
  </w:num>
  <w:num w:numId="32">
    <w:abstractNumId w:val="10"/>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4360A"/>
    <w:rsid w:val="000959A5"/>
    <w:rsid w:val="00095C03"/>
    <w:rsid w:val="000A29E6"/>
    <w:rsid w:val="000E1A10"/>
    <w:rsid w:val="001401E8"/>
    <w:rsid w:val="001463CF"/>
    <w:rsid w:val="001708E8"/>
    <w:rsid w:val="00170F97"/>
    <w:rsid w:val="00180362"/>
    <w:rsid w:val="001935F9"/>
    <w:rsid w:val="00226C57"/>
    <w:rsid w:val="00232FED"/>
    <w:rsid w:val="00245765"/>
    <w:rsid w:val="002611A1"/>
    <w:rsid w:val="00291F21"/>
    <w:rsid w:val="002B2063"/>
    <w:rsid w:val="002D1582"/>
    <w:rsid w:val="003029B7"/>
    <w:rsid w:val="0031601B"/>
    <w:rsid w:val="0036722B"/>
    <w:rsid w:val="00367325"/>
    <w:rsid w:val="00380305"/>
    <w:rsid w:val="003F0E44"/>
    <w:rsid w:val="003F406E"/>
    <w:rsid w:val="003F7E6E"/>
    <w:rsid w:val="00486290"/>
    <w:rsid w:val="004A1F97"/>
    <w:rsid w:val="004B3FFC"/>
    <w:rsid w:val="004D0488"/>
    <w:rsid w:val="004D4EB0"/>
    <w:rsid w:val="005144B0"/>
    <w:rsid w:val="005369E2"/>
    <w:rsid w:val="0054620E"/>
    <w:rsid w:val="00571A29"/>
    <w:rsid w:val="00595880"/>
    <w:rsid w:val="005B1A30"/>
    <w:rsid w:val="005B44FF"/>
    <w:rsid w:val="005C012D"/>
    <w:rsid w:val="005D4888"/>
    <w:rsid w:val="00602B92"/>
    <w:rsid w:val="006113B2"/>
    <w:rsid w:val="0063064B"/>
    <w:rsid w:val="00647945"/>
    <w:rsid w:val="00652842"/>
    <w:rsid w:val="00652DBD"/>
    <w:rsid w:val="006710B7"/>
    <w:rsid w:val="006840CA"/>
    <w:rsid w:val="006D1DFD"/>
    <w:rsid w:val="006E0348"/>
    <w:rsid w:val="00706B99"/>
    <w:rsid w:val="00756BAB"/>
    <w:rsid w:val="0078444C"/>
    <w:rsid w:val="00795377"/>
    <w:rsid w:val="008010F6"/>
    <w:rsid w:val="00821627"/>
    <w:rsid w:val="008344FD"/>
    <w:rsid w:val="0085740C"/>
    <w:rsid w:val="00857588"/>
    <w:rsid w:val="0087255E"/>
    <w:rsid w:val="008B6E92"/>
    <w:rsid w:val="008C36F1"/>
    <w:rsid w:val="008E36CB"/>
    <w:rsid w:val="00935ABF"/>
    <w:rsid w:val="009A22BD"/>
    <w:rsid w:val="00A03FC2"/>
    <w:rsid w:val="00A7147C"/>
    <w:rsid w:val="00A77811"/>
    <w:rsid w:val="00A97641"/>
    <w:rsid w:val="00AA5C01"/>
    <w:rsid w:val="00AA5CDF"/>
    <w:rsid w:val="00AB710C"/>
    <w:rsid w:val="00AD7D8C"/>
    <w:rsid w:val="00AE1A0C"/>
    <w:rsid w:val="00B130EA"/>
    <w:rsid w:val="00BA2763"/>
    <w:rsid w:val="00BC7F1E"/>
    <w:rsid w:val="00BE244A"/>
    <w:rsid w:val="00C6535B"/>
    <w:rsid w:val="00CA29C1"/>
    <w:rsid w:val="00CC4807"/>
    <w:rsid w:val="00D165CE"/>
    <w:rsid w:val="00D27038"/>
    <w:rsid w:val="00D50270"/>
    <w:rsid w:val="00D509E6"/>
    <w:rsid w:val="00D67082"/>
    <w:rsid w:val="00D71BF8"/>
    <w:rsid w:val="00D721C2"/>
    <w:rsid w:val="00DB5417"/>
    <w:rsid w:val="00DC604B"/>
    <w:rsid w:val="00DE12EC"/>
    <w:rsid w:val="00E13F18"/>
    <w:rsid w:val="00E21A3E"/>
    <w:rsid w:val="00E22C40"/>
    <w:rsid w:val="00E26018"/>
    <w:rsid w:val="00E27AE9"/>
    <w:rsid w:val="00E54264"/>
    <w:rsid w:val="00EA6ECB"/>
    <w:rsid w:val="00F12BF9"/>
    <w:rsid w:val="00F45EA9"/>
    <w:rsid w:val="00F51380"/>
    <w:rsid w:val="00F66C59"/>
    <w:rsid w:val="00F7434B"/>
    <w:rsid w:val="00F96C6F"/>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C5C8-0DAF-4312-9E8C-13BEA061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6262</Words>
  <Characters>35700</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4</cp:revision>
  <cp:lastPrinted>2023-12-19T15:08:00Z</cp:lastPrinted>
  <dcterms:created xsi:type="dcterms:W3CDTF">2024-02-02T12:39:00Z</dcterms:created>
  <dcterms:modified xsi:type="dcterms:W3CDTF">2024-02-02T12:45:00Z</dcterms:modified>
</cp:coreProperties>
</file>