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7A10" w14:textId="77777777" w:rsidR="003D2558" w:rsidRPr="003B4461" w:rsidRDefault="003D2558" w:rsidP="003D2558">
      <w:pPr>
        <w:jc w:val="right"/>
        <w:rPr>
          <w:b/>
        </w:rPr>
      </w:pPr>
      <w:bookmarkStart w:id="0" w:name="_GoBack"/>
      <w:r w:rsidRPr="003B4461">
        <w:rPr>
          <w:b/>
        </w:rPr>
        <w:t>Додаток 1</w:t>
      </w:r>
    </w:p>
    <w:p w14:paraId="10B193AE" w14:textId="0E2BBD0C" w:rsidR="003D2558" w:rsidRPr="003B4461" w:rsidRDefault="003D2558" w:rsidP="003D2558">
      <w:pPr>
        <w:jc w:val="right"/>
        <w:rPr>
          <w:b/>
        </w:rPr>
      </w:pPr>
      <w:r w:rsidRPr="003B4461">
        <w:rPr>
          <w:b/>
        </w:rPr>
        <w:t xml:space="preserve">до протоколу </w:t>
      </w:r>
      <w:r w:rsidR="002116C8" w:rsidRPr="003B4461">
        <w:rPr>
          <w:b/>
          <w:bCs/>
        </w:rPr>
        <w:t>№</w:t>
      </w:r>
      <w:r w:rsidR="0084134F" w:rsidRPr="003B4461">
        <w:rPr>
          <w:b/>
          <w:bCs/>
        </w:rPr>
        <w:t>59</w:t>
      </w:r>
      <w:r w:rsidR="00F50EFC" w:rsidRPr="003B4461">
        <w:rPr>
          <w:b/>
          <w:bCs/>
        </w:rPr>
        <w:t xml:space="preserve"> </w:t>
      </w:r>
      <w:r w:rsidRPr="003B4461">
        <w:rPr>
          <w:b/>
        </w:rPr>
        <w:t xml:space="preserve">від </w:t>
      </w:r>
      <w:r w:rsidR="0094247B" w:rsidRPr="003B4461">
        <w:rPr>
          <w:b/>
        </w:rPr>
        <w:t>2</w:t>
      </w:r>
      <w:r w:rsidR="0084134F" w:rsidRPr="003B4461">
        <w:rPr>
          <w:b/>
        </w:rPr>
        <w:t>6</w:t>
      </w:r>
      <w:r w:rsidRPr="003B4461">
        <w:rPr>
          <w:b/>
        </w:rPr>
        <w:t>.</w:t>
      </w:r>
      <w:r w:rsidR="00430D82" w:rsidRPr="003B4461">
        <w:rPr>
          <w:b/>
        </w:rPr>
        <w:t>0</w:t>
      </w:r>
      <w:r w:rsidR="00FC5C37" w:rsidRPr="003B4461">
        <w:rPr>
          <w:b/>
        </w:rPr>
        <w:t>4</w:t>
      </w:r>
      <w:r w:rsidRPr="003B4461">
        <w:rPr>
          <w:b/>
        </w:rPr>
        <w:t>.202</w:t>
      </w:r>
      <w:r w:rsidR="006C752B" w:rsidRPr="003B4461">
        <w:rPr>
          <w:b/>
        </w:rPr>
        <w:t>4</w:t>
      </w:r>
      <w:r w:rsidRPr="003B4461">
        <w:rPr>
          <w:b/>
        </w:rPr>
        <w:t xml:space="preserve"> року</w:t>
      </w:r>
    </w:p>
    <w:p w14:paraId="077B21DA" w14:textId="7E2E2487" w:rsidR="008D3271" w:rsidRPr="003B4461" w:rsidRDefault="008D3271" w:rsidP="008D3271">
      <w:pPr>
        <w:jc w:val="center"/>
        <w:rPr>
          <w:b/>
          <w:sz w:val="36"/>
          <w:szCs w:val="36"/>
        </w:rPr>
      </w:pPr>
      <w:r w:rsidRPr="003B4461">
        <w:rPr>
          <w:b/>
          <w:sz w:val="36"/>
          <w:szCs w:val="36"/>
        </w:rPr>
        <w:t>Зміни внесені до</w:t>
      </w:r>
      <w:r w:rsidR="0094247B" w:rsidRPr="003B4461">
        <w:rPr>
          <w:b/>
          <w:sz w:val="36"/>
          <w:szCs w:val="36"/>
        </w:rPr>
        <w:t xml:space="preserve"> тендерної документації та</w:t>
      </w:r>
      <w:r w:rsidRPr="003B4461">
        <w:rPr>
          <w:b/>
          <w:sz w:val="36"/>
          <w:szCs w:val="36"/>
        </w:rPr>
        <w:t xml:space="preserve"> </w:t>
      </w:r>
      <w:r w:rsidR="00FC5C37" w:rsidRPr="003B4461">
        <w:rPr>
          <w:b/>
          <w:sz w:val="36"/>
          <w:szCs w:val="36"/>
        </w:rPr>
        <w:t>оголошення про проведення відкритих торгів</w:t>
      </w:r>
    </w:p>
    <w:p w14:paraId="19CE5F0C" w14:textId="77777777" w:rsidR="008D3271" w:rsidRPr="003B4461" w:rsidRDefault="008D3271" w:rsidP="008D3271">
      <w:pPr>
        <w:jc w:val="center"/>
        <w:rPr>
          <w:b/>
          <w:sz w:val="28"/>
          <w:szCs w:val="28"/>
        </w:rPr>
      </w:pPr>
      <w:r w:rsidRPr="003B4461">
        <w:rPr>
          <w:b/>
          <w:sz w:val="28"/>
          <w:szCs w:val="28"/>
        </w:rPr>
        <w:t xml:space="preserve">щодо закупівлі </w:t>
      </w:r>
    </w:p>
    <w:p w14:paraId="1D210157" w14:textId="3701D0B6" w:rsidR="008D3271" w:rsidRPr="003B4461" w:rsidRDefault="0084134F" w:rsidP="00430D82">
      <w:pPr>
        <w:shd w:val="clear" w:color="auto" w:fill="FFFFFF"/>
        <w:tabs>
          <w:tab w:val="left" w:pos="720"/>
        </w:tabs>
        <w:jc w:val="center"/>
        <w:rPr>
          <w:b/>
          <w:bCs/>
          <w:spacing w:val="1"/>
        </w:rPr>
      </w:pPr>
      <w:r w:rsidRPr="003B4461">
        <w:rPr>
          <w:b/>
          <w:bCs/>
          <w:lang w:eastAsia="zh-CN"/>
        </w:rPr>
        <w:t>«Брикети торф’яні (код ДК 021:2015: 09110000-3 «Тверде паливо»)»</w:t>
      </w:r>
    </w:p>
    <w:tbl>
      <w:tblPr>
        <w:tblW w:w="16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55"/>
        <w:gridCol w:w="7372"/>
      </w:tblGrid>
      <w:tr w:rsidR="003B4461" w:rsidRPr="003B4461" w14:paraId="019AE608" w14:textId="77777777" w:rsidTr="00C276E6">
        <w:trPr>
          <w:trHeight w:val="20"/>
        </w:trPr>
        <w:tc>
          <w:tcPr>
            <w:tcW w:w="1418" w:type="dxa"/>
            <w:vAlign w:val="center"/>
          </w:tcPr>
          <w:p w14:paraId="163D2001" w14:textId="4180A793" w:rsidR="007311E9" w:rsidRPr="003B4461" w:rsidRDefault="00CF6793" w:rsidP="009D48CB">
            <w:pPr>
              <w:ind w:left="-108" w:right="-108"/>
              <w:rPr>
                <w:b/>
                <w:i/>
              </w:rPr>
            </w:pPr>
            <w:r w:rsidRPr="003B4461">
              <w:rPr>
                <w:b/>
                <w:i/>
              </w:rPr>
              <w:t xml:space="preserve">Пункт </w:t>
            </w:r>
            <w:r w:rsidR="009D48CB" w:rsidRPr="003B4461">
              <w:rPr>
                <w:b/>
                <w:i/>
              </w:rPr>
              <w:t>ТД</w:t>
            </w:r>
          </w:p>
        </w:tc>
        <w:tc>
          <w:tcPr>
            <w:tcW w:w="7655" w:type="dxa"/>
            <w:shd w:val="clear" w:color="auto" w:fill="auto"/>
            <w:vAlign w:val="center"/>
          </w:tcPr>
          <w:p w14:paraId="42017F16" w14:textId="61FD648B" w:rsidR="007311E9" w:rsidRPr="003B4461" w:rsidRDefault="007311E9" w:rsidP="006E4977">
            <w:pPr>
              <w:jc w:val="center"/>
              <w:rPr>
                <w:b/>
              </w:rPr>
            </w:pPr>
            <w:r w:rsidRPr="003B4461">
              <w:rPr>
                <w:b/>
              </w:rPr>
              <w:t xml:space="preserve">Редакція від </w:t>
            </w:r>
            <w:r w:rsidR="0094247B" w:rsidRPr="003B4461">
              <w:rPr>
                <w:b/>
              </w:rPr>
              <w:t>2</w:t>
            </w:r>
            <w:r w:rsidR="006E4977" w:rsidRPr="003B4461">
              <w:rPr>
                <w:b/>
              </w:rPr>
              <w:t>3</w:t>
            </w:r>
            <w:r w:rsidR="005E38E8" w:rsidRPr="003B4461">
              <w:rPr>
                <w:b/>
              </w:rPr>
              <w:t>.</w:t>
            </w:r>
            <w:r w:rsidR="00430D82" w:rsidRPr="003B4461">
              <w:rPr>
                <w:b/>
              </w:rPr>
              <w:t>0</w:t>
            </w:r>
            <w:r w:rsidR="00FC5C37" w:rsidRPr="003B4461">
              <w:rPr>
                <w:b/>
              </w:rPr>
              <w:t>4</w:t>
            </w:r>
            <w:r w:rsidR="005E38E8" w:rsidRPr="003B4461">
              <w:rPr>
                <w:b/>
              </w:rPr>
              <w:t>.</w:t>
            </w:r>
            <w:r w:rsidRPr="003B4461">
              <w:rPr>
                <w:b/>
              </w:rPr>
              <w:t>202</w:t>
            </w:r>
            <w:r w:rsidR="00FC5C37" w:rsidRPr="003B4461">
              <w:rPr>
                <w:b/>
              </w:rPr>
              <w:t>4</w:t>
            </w:r>
            <w:r w:rsidRPr="003B4461">
              <w:rPr>
                <w:b/>
              </w:rPr>
              <w:t xml:space="preserve"> року</w:t>
            </w:r>
          </w:p>
        </w:tc>
        <w:tc>
          <w:tcPr>
            <w:tcW w:w="7372" w:type="dxa"/>
          </w:tcPr>
          <w:p w14:paraId="4E7535B9" w14:textId="15F9E305" w:rsidR="007311E9" w:rsidRPr="003B4461" w:rsidRDefault="007311E9" w:rsidP="006E4977">
            <w:pPr>
              <w:jc w:val="center"/>
              <w:rPr>
                <w:b/>
              </w:rPr>
            </w:pPr>
            <w:r w:rsidRPr="003B4461">
              <w:rPr>
                <w:b/>
              </w:rPr>
              <w:t xml:space="preserve">Редакція від </w:t>
            </w:r>
            <w:r w:rsidR="0094247B" w:rsidRPr="003B4461">
              <w:rPr>
                <w:b/>
              </w:rPr>
              <w:t>2</w:t>
            </w:r>
            <w:r w:rsidR="006E4977" w:rsidRPr="003B4461">
              <w:rPr>
                <w:b/>
              </w:rPr>
              <w:t>6</w:t>
            </w:r>
            <w:r w:rsidRPr="003B4461">
              <w:rPr>
                <w:b/>
              </w:rPr>
              <w:t>.</w:t>
            </w:r>
            <w:r w:rsidR="00430D82" w:rsidRPr="003B4461">
              <w:rPr>
                <w:b/>
              </w:rPr>
              <w:t>0</w:t>
            </w:r>
            <w:r w:rsidR="00FC5C37" w:rsidRPr="003B4461">
              <w:rPr>
                <w:b/>
              </w:rPr>
              <w:t>4</w:t>
            </w:r>
            <w:r w:rsidRPr="003B4461">
              <w:rPr>
                <w:b/>
              </w:rPr>
              <w:t>.202</w:t>
            </w:r>
            <w:r w:rsidR="00430D82" w:rsidRPr="003B4461">
              <w:rPr>
                <w:b/>
              </w:rPr>
              <w:t>4</w:t>
            </w:r>
            <w:r w:rsidRPr="003B4461">
              <w:rPr>
                <w:b/>
              </w:rPr>
              <w:t xml:space="preserve"> року</w:t>
            </w:r>
          </w:p>
        </w:tc>
      </w:tr>
      <w:tr w:rsidR="003B4461" w:rsidRPr="003B4461" w14:paraId="3460BCEB" w14:textId="77777777" w:rsidTr="00C276E6">
        <w:trPr>
          <w:trHeight w:val="20"/>
        </w:trPr>
        <w:tc>
          <w:tcPr>
            <w:tcW w:w="1418" w:type="dxa"/>
            <w:vAlign w:val="center"/>
          </w:tcPr>
          <w:p w14:paraId="741C5D17" w14:textId="424A389E" w:rsidR="0094247B" w:rsidRPr="003B4461" w:rsidRDefault="006E4977" w:rsidP="009D48CB">
            <w:pPr>
              <w:ind w:left="-108" w:right="-108"/>
              <w:jc w:val="both"/>
              <w:rPr>
                <w:sz w:val="20"/>
                <w:szCs w:val="20"/>
              </w:rPr>
            </w:pPr>
            <w:r w:rsidRPr="003B4461">
              <w:rPr>
                <w:sz w:val="20"/>
                <w:szCs w:val="20"/>
              </w:rPr>
              <w:t>п. 3.5.2. ч.5 (Кваліфікаційні критерії до учасників та вимоги, установлені п.47 Особливостей) Розділу ІІІ ТД</w:t>
            </w:r>
          </w:p>
        </w:tc>
        <w:tc>
          <w:tcPr>
            <w:tcW w:w="7655" w:type="dxa"/>
            <w:shd w:val="clear" w:color="auto" w:fill="auto"/>
            <w:vAlign w:val="center"/>
          </w:tcPr>
          <w:p w14:paraId="48ADA66B" w14:textId="78CB7889" w:rsidR="006E4977" w:rsidRPr="003B4461" w:rsidRDefault="006E4977" w:rsidP="006E4977">
            <w:pPr>
              <w:pStyle w:val="210"/>
              <w:spacing w:after="0" w:line="240" w:lineRule="auto"/>
              <w:ind w:left="0" w:right="100"/>
              <w:contextualSpacing/>
              <w:jc w:val="both"/>
              <w:rPr>
                <w:rFonts w:ascii="Times New Roman" w:hAnsi="Times New Roman"/>
                <w:strike/>
                <w:sz w:val="20"/>
                <w:szCs w:val="20"/>
                <w:lang w:val="uk-UA"/>
              </w:rPr>
            </w:pPr>
            <w:r w:rsidRPr="003B4461">
              <w:rPr>
                <w:rFonts w:ascii="Times New Roman" w:hAnsi="Times New Roman"/>
                <w:strike/>
                <w:sz w:val="20"/>
                <w:szCs w:val="20"/>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4536"/>
              <w:gridCol w:w="425"/>
            </w:tblGrid>
            <w:tr w:rsidR="003B4461" w:rsidRPr="003B4461" w14:paraId="1DD21609" w14:textId="77777777" w:rsidTr="006E4977">
              <w:trPr>
                <w:trHeight w:val="20"/>
              </w:trPr>
              <w:tc>
                <w:tcPr>
                  <w:tcW w:w="3006" w:type="dxa"/>
                  <w:tcBorders>
                    <w:top w:val="single" w:sz="4" w:space="0" w:color="auto"/>
                    <w:left w:val="single" w:sz="4" w:space="0" w:color="auto"/>
                    <w:bottom w:val="single" w:sz="4" w:space="0" w:color="auto"/>
                    <w:right w:val="single" w:sz="4" w:space="0" w:color="auto"/>
                  </w:tcBorders>
                  <w:hideMark/>
                </w:tcPr>
                <w:p w14:paraId="48D62432" w14:textId="77777777" w:rsidR="006E4977" w:rsidRPr="003B4461" w:rsidRDefault="006E4977" w:rsidP="00FC0A7E">
                  <w:pPr>
                    <w:pStyle w:val="20"/>
                    <w:spacing w:after="0" w:line="240" w:lineRule="auto"/>
                    <w:ind w:left="0" w:right="100"/>
                    <w:contextualSpacing/>
                    <w:jc w:val="center"/>
                    <w:rPr>
                      <w:rFonts w:ascii="Times New Roman" w:hAnsi="Times New Roman" w:cs="Times New Roman"/>
                      <w:b/>
                      <w:i/>
                      <w:strike/>
                      <w:sz w:val="20"/>
                      <w:szCs w:val="20"/>
                      <w:lang w:val="uk-UA"/>
                    </w:rPr>
                  </w:pPr>
                  <w:r w:rsidRPr="003B4461">
                    <w:rPr>
                      <w:rFonts w:ascii="Times New Roman" w:hAnsi="Times New Roman" w:cs="Times New Roman"/>
                      <w:b/>
                      <w:i/>
                      <w:strike/>
                      <w:sz w:val="20"/>
                      <w:szCs w:val="20"/>
                      <w:lang w:val="uk-UA"/>
                    </w:rPr>
                    <w:t>Кваліфікаційний критерій</w:t>
                  </w:r>
                </w:p>
              </w:tc>
              <w:tc>
                <w:tcPr>
                  <w:tcW w:w="4961" w:type="dxa"/>
                  <w:gridSpan w:val="2"/>
                  <w:tcBorders>
                    <w:top w:val="single" w:sz="4" w:space="0" w:color="auto"/>
                    <w:left w:val="single" w:sz="4" w:space="0" w:color="auto"/>
                    <w:bottom w:val="single" w:sz="4" w:space="0" w:color="auto"/>
                    <w:right w:val="single" w:sz="4" w:space="0" w:color="auto"/>
                  </w:tcBorders>
                  <w:hideMark/>
                </w:tcPr>
                <w:p w14:paraId="5A377D63" w14:textId="77777777" w:rsidR="006E4977" w:rsidRPr="003B4461" w:rsidRDefault="006E4977" w:rsidP="00FC0A7E">
                  <w:pPr>
                    <w:pStyle w:val="20"/>
                    <w:spacing w:after="0" w:line="240" w:lineRule="auto"/>
                    <w:ind w:left="0" w:right="100"/>
                    <w:contextualSpacing/>
                    <w:jc w:val="center"/>
                    <w:rPr>
                      <w:rFonts w:ascii="Times New Roman" w:hAnsi="Times New Roman" w:cs="Times New Roman"/>
                      <w:b/>
                      <w:i/>
                      <w:strike/>
                      <w:sz w:val="20"/>
                      <w:szCs w:val="20"/>
                      <w:lang w:val="uk-UA"/>
                    </w:rPr>
                  </w:pPr>
                  <w:r w:rsidRPr="003B4461">
                    <w:rPr>
                      <w:rFonts w:ascii="Times New Roman" w:hAnsi="Times New Roman" w:cs="Times New Roman"/>
                      <w:b/>
                      <w:i/>
                      <w:strike/>
                      <w:sz w:val="20"/>
                      <w:szCs w:val="20"/>
                      <w:lang w:val="uk-UA"/>
                    </w:rPr>
                    <w:t>Документальне підтвердження</w:t>
                  </w:r>
                </w:p>
              </w:tc>
            </w:tr>
            <w:tr w:rsidR="003B4461" w:rsidRPr="003B4461" w14:paraId="5C56504C" w14:textId="77777777" w:rsidTr="006E4977">
              <w:trPr>
                <w:gridAfter w:val="1"/>
                <w:wAfter w:w="425" w:type="dxa"/>
                <w:trHeight w:val="20"/>
              </w:trPr>
              <w:tc>
                <w:tcPr>
                  <w:tcW w:w="3006" w:type="dxa"/>
                  <w:tcBorders>
                    <w:top w:val="single" w:sz="4" w:space="0" w:color="auto"/>
                    <w:left w:val="single" w:sz="4" w:space="0" w:color="auto"/>
                    <w:bottom w:val="single" w:sz="4" w:space="0" w:color="auto"/>
                    <w:right w:val="single" w:sz="4" w:space="0" w:color="auto"/>
                  </w:tcBorders>
                  <w:vAlign w:val="center"/>
                  <w:hideMark/>
                </w:tcPr>
                <w:p w14:paraId="1FA40D4C" w14:textId="77777777" w:rsidR="006E4977" w:rsidRPr="003B4461" w:rsidRDefault="006E4977" w:rsidP="00FC0A7E">
                  <w:pPr>
                    <w:ind w:right="100"/>
                    <w:contextualSpacing/>
                    <w:jc w:val="center"/>
                    <w:rPr>
                      <w:i/>
                      <w:strike/>
                      <w:sz w:val="20"/>
                      <w:szCs w:val="20"/>
                    </w:rPr>
                  </w:pPr>
                  <w:r w:rsidRPr="003B4461">
                    <w:rPr>
                      <w:i/>
                      <w:strike/>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4536" w:type="dxa"/>
                  <w:tcBorders>
                    <w:top w:val="single" w:sz="4" w:space="0" w:color="auto"/>
                    <w:left w:val="single" w:sz="4" w:space="0" w:color="auto"/>
                    <w:bottom w:val="single" w:sz="4" w:space="0" w:color="auto"/>
                    <w:right w:val="single" w:sz="4" w:space="0" w:color="auto"/>
                  </w:tcBorders>
                  <w:hideMark/>
                </w:tcPr>
                <w:p w14:paraId="739ECEA9" w14:textId="77777777" w:rsidR="006E4977" w:rsidRPr="003B4461" w:rsidRDefault="006E4977" w:rsidP="00FC0A7E">
                  <w:pPr>
                    <w:pStyle w:val="20"/>
                    <w:spacing w:after="0" w:line="240" w:lineRule="auto"/>
                    <w:ind w:left="0"/>
                    <w:jc w:val="both"/>
                    <w:rPr>
                      <w:rFonts w:ascii="Times New Roman" w:hAnsi="Times New Roman" w:cs="Times New Roman"/>
                      <w:strike/>
                      <w:sz w:val="20"/>
                      <w:szCs w:val="20"/>
                      <w:lang w:val="uk-UA"/>
                    </w:rPr>
                  </w:pPr>
                  <w:r w:rsidRPr="003B4461">
                    <w:rPr>
                      <w:rFonts w:ascii="Times New Roman" w:hAnsi="Times New Roman" w:cs="Times New Roman"/>
                      <w:strike/>
                      <w:sz w:val="20"/>
                      <w:szCs w:val="20"/>
                      <w:lang w:val="uk-UA"/>
                    </w:rPr>
                    <w:t>1.1. Довідка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які укладені в 2021-2023 роках, разом із копією аналогічного договору без додатків та Додаткових угод, що вказаний в довідці. Також в складі пропозиції надаються копії документів що підтверджують факт часткового або ж повного виконання договору (видаткова накладна, товарно-транспортна накладна, тощо).</w:t>
                  </w:r>
                </w:p>
                <w:p w14:paraId="2E6B101F" w14:textId="77777777" w:rsidR="006E4977" w:rsidRPr="003B4461" w:rsidRDefault="006E4977" w:rsidP="00FC0A7E">
                  <w:pPr>
                    <w:jc w:val="both"/>
                    <w:rPr>
                      <w:strike/>
                      <w:sz w:val="20"/>
                      <w:szCs w:val="20"/>
                      <w:lang w:eastAsia="uk-UA"/>
                    </w:rPr>
                  </w:pPr>
                  <w:r w:rsidRPr="003B4461">
                    <w:rPr>
                      <w:strike/>
                      <w:sz w:val="20"/>
                      <w:szCs w:val="20"/>
                    </w:rPr>
                    <w:t>1.2. Досвід виконання договорів за 2021-2023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3B4461">
                    <w:rPr>
                      <w:strike/>
                      <w:sz w:val="20"/>
                      <w:szCs w:val="20"/>
                      <w:lang w:eastAsia="uk-UA"/>
                    </w:rPr>
                    <w:t xml:space="preserve">. </w:t>
                  </w:r>
                </w:p>
              </w:tc>
            </w:tr>
          </w:tbl>
          <w:p w14:paraId="7653680C" w14:textId="77777777" w:rsidR="006E4977" w:rsidRPr="003B4461" w:rsidRDefault="006E4977" w:rsidP="006E4977">
            <w:pPr>
              <w:pStyle w:val="210"/>
              <w:spacing w:after="0" w:line="240" w:lineRule="auto"/>
              <w:ind w:left="60"/>
              <w:jc w:val="both"/>
              <w:rPr>
                <w:rFonts w:ascii="Times New Roman" w:hAnsi="Times New Roman"/>
                <w:i/>
                <w:sz w:val="20"/>
                <w:szCs w:val="20"/>
                <w:lang w:val="uk-UA" w:eastAsia="ru-RU"/>
              </w:rPr>
            </w:pPr>
            <w:r w:rsidRPr="003B4461">
              <w:rPr>
                <w:rFonts w:ascii="Times New Roman" w:hAnsi="Times New Roman"/>
                <w:i/>
                <w:strike/>
                <w:sz w:val="20"/>
                <w:szCs w:val="20"/>
                <w:lang w:val="uk-UA" w:eastAsia="ru-RU"/>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7F2C205B" w14:textId="4E12F77F" w:rsidR="0094247B" w:rsidRPr="003B4461" w:rsidRDefault="0094247B" w:rsidP="009D48CB">
            <w:pPr>
              <w:jc w:val="both"/>
              <w:rPr>
                <w:b/>
                <w:sz w:val="18"/>
                <w:szCs w:val="18"/>
              </w:rPr>
            </w:pPr>
          </w:p>
        </w:tc>
        <w:tc>
          <w:tcPr>
            <w:tcW w:w="7372" w:type="dxa"/>
          </w:tcPr>
          <w:p w14:paraId="06EEAEC7" w14:textId="77777777" w:rsidR="006E4977" w:rsidRPr="003B4461" w:rsidRDefault="006E4977" w:rsidP="006E4977">
            <w:pPr>
              <w:pStyle w:val="210"/>
              <w:spacing w:after="0" w:line="240" w:lineRule="auto"/>
              <w:ind w:left="0" w:right="100"/>
              <w:contextualSpacing/>
              <w:jc w:val="both"/>
              <w:rPr>
                <w:rFonts w:ascii="Times New Roman" w:hAnsi="Times New Roman"/>
                <w:sz w:val="20"/>
                <w:szCs w:val="20"/>
                <w:lang w:val="uk-UA"/>
              </w:rPr>
            </w:pPr>
            <w:r w:rsidRPr="003B4461">
              <w:rPr>
                <w:rFonts w:ascii="Times New Roman" w:hAnsi="Times New Roman"/>
                <w:sz w:val="20"/>
                <w:szCs w:val="20"/>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103"/>
              <w:gridCol w:w="425"/>
            </w:tblGrid>
            <w:tr w:rsidR="003B4461" w:rsidRPr="003B4461" w14:paraId="0155A6E2" w14:textId="77777777" w:rsidTr="006E4977">
              <w:trPr>
                <w:trHeight w:val="20"/>
              </w:trPr>
              <w:tc>
                <w:tcPr>
                  <w:tcW w:w="2155" w:type="dxa"/>
                  <w:tcBorders>
                    <w:top w:val="single" w:sz="4" w:space="0" w:color="auto"/>
                    <w:left w:val="single" w:sz="4" w:space="0" w:color="auto"/>
                    <w:bottom w:val="single" w:sz="4" w:space="0" w:color="auto"/>
                    <w:right w:val="single" w:sz="4" w:space="0" w:color="auto"/>
                  </w:tcBorders>
                  <w:hideMark/>
                </w:tcPr>
                <w:p w14:paraId="0DB3C058" w14:textId="77777777" w:rsidR="006E4977" w:rsidRPr="003B4461" w:rsidRDefault="006E4977" w:rsidP="00FC0A7E">
                  <w:pPr>
                    <w:pStyle w:val="20"/>
                    <w:spacing w:after="0" w:line="240" w:lineRule="auto"/>
                    <w:ind w:left="0" w:right="100"/>
                    <w:contextualSpacing/>
                    <w:jc w:val="center"/>
                    <w:rPr>
                      <w:rFonts w:ascii="Times New Roman" w:hAnsi="Times New Roman" w:cs="Times New Roman"/>
                      <w:b/>
                      <w:i/>
                      <w:sz w:val="20"/>
                      <w:szCs w:val="20"/>
                      <w:lang w:val="uk-UA"/>
                    </w:rPr>
                  </w:pPr>
                  <w:r w:rsidRPr="003B4461">
                    <w:rPr>
                      <w:rFonts w:ascii="Times New Roman" w:hAnsi="Times New Roman" w:cs="Times New Roman"/>
                      <w:b/>
                      <w:i/>
                      <w:sz w:val="20"/>
                      <w:szCs w:val="20"/>
                      <w:lang w:val="uk-UA"/>
                    </w:rPr>
                    <w:t>Кваліфікаційний критерій</w:t>
                  </w:r>
                </w:p>
              </w:tc>
              <w:tc>
                <w:tcPr>
                  <w:tcW w:w="5528" w:type="dxa"/>
                  <w:gridSpan w:val="2"/>
                  <w:tcBorders>
                    <w:top w:val="single" w:sz="4" w:space="0" w:color="auto"/>
                    <w:left w:val="single" w:sz="4" w:space="0" w:color="auto"/>
                    <w:bottom w:val="single" w:sz="4" w:space="0" w:color="auto"/>
                    <w:right w:val="single" w:sz="4" w:space="0" w:color="auto"/>
                  </w:tcBorders>
                  <w:hideMark/>
                </w:tcPr>
                <w:p w14:paraId="43E69E59" w14:textId="77777777" w:rsidR="006E4977" w:rsidRPr="003B4461" w:rsidRDefault="006E4977" w:rsidP="00FC0A7E">
                  <w:pPr>
                    <w:pStyle w:val="20"/>
                    <w:spacing w:after="0" w:line="240" w:lineRule="auto"/>
                    <w:ind w:left="0" w:right="100"/>
                    <w:contextualSpacing/>
                    <w:jc w:val="center"/>
                    <w:rPr>
                      <w:rFonts w:ascii="Times New Roman" w:hAnsi="Times New Roman" w:cs="Times New Roman"/>
                      <w:b/>
                      <w:i/>
                      <w:sz w:val="20"/>
                      <w:szCs w:val="20"/>
                      <w:lang w:val="uk-UA"/>
                    </w:rPr>
                  </w:pPr>
                  <w:r w:rsidRPr="003B4461">
                    <w:rPr>
                      <w:rFonts w:ascii="Times New Roman" w:hAnsi="Times New Roman" w:cs="Times New Roman"/>
                      <w:b/>
                      <w:i/>
                      <w:sz w:val="20"/>
                      <w:szCs w:val="20"/>
                      <w:lang w:val="uk-UA"/>
                    </w:rPr>
                    <w:t>Документальне підтвердження</w:t>
                  </w:r>
                </w:p>
              </w:tc>
            </w:tr>
            <w:tr w:rsidR="003B4461" w:rsidRPr="003B4461" w14:paraId="69F3041E" w14:textId="77777777" w:rsidTr="006E4977">
              <w:trPr>
                <w:gridAfter w:val="1"/>
                <w:wAfter w:w="425" w:type="dxa"/>
                <w:trHeight w:val="20"/>
              </w:trPr>
              <w:tc>
                <w:tcPr>
                  <w:tcW w:w="2155" w:type="dxa"/>
                  <w:tcBorders>
                    <w:top w:val="single" w:sz="4" w:space="0" w:color="auto"/>
                    <w:left w:val="single" w:sz="4" w:space="0" w:color="auto"/>
                    <w:bottom w:val="single" w:sz="4" w:space="0" w:color="auto"/>
                    <w:right w:val="single" w:sz="4" w:space="0" w:color="auto"/>
                  </w:tcBorders>
                  <w:vAlign w:val="center"/>
                  <w:hideMark/>
                </w:tcPr>
                <w:p w14:paraId="4DEFEAD1" w14:textId="77777777" w:rsidR="006E4977" w:rsidRPr="003B4461" w:rsidRDefault="006E4977" w:rsidP="00FC0A7E">
                  <w:pPr>
                    <w:ind w:right="100"/>
                    <w:contextualSpacing/>
                    <w:jc w:val="center"/>
                    <w:rPr>
                      <w:i/>
                      <w:sz w:val="20"/>
                      <w:szCs w:val="20"/>
                    </w:rPr>
                  </w:pPr>
                  <w:r w:rsidRPr="003B4461">
                    <w:rPr>
                      <w:i/>
                      <w:sz w:val="20"/>
                      <w:szCs w:val="20"/>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14:paraId="08102F0B" w14:textId="22ECE6FF" w:rsidR="006E4977" w:rsidRPr="003B4461" w:rsidRDefault="006E4977" w:rsidP="00FC0A7E">
                  <w:pPr>
                    <w:pStyle w:val="20"/>
                    <w:spacing w:after="0" w:line="240" w:lineRule="auto"/>
                    <w:ind w:left="0"/>
                    <w:jc w:val="both"/>
                    <w:rPr>
                      <w:rFonts w:ascii="Times New Roman" w:hAnsi="Times New Roman" w:cs="Times New Roman"/>
                      <w:sz w:val="20"/>
                      <w:szCs w:val="20"/>
                      <w:lang w:val="uk-UA"/>
                    </w:rPr>
                  </w:pPr>
                  <w:r w:rsidRPr="003B4461">
                    <w:rPr>
                      <w:rFonts w:ascii="Times New Roman" w:hAnsi="Times New Roman" w:cs="Times New Roman"/>
                      <w:sz w:val="20"/>
                      <w:szCs w:val="20"/>
                      <w:lang w:val="uk-UA"/>
                    </w:rPr>
                    <w:t>1.1. Довідка у довільній формі, з зазначенням аналогічних договорів (аналогічного договору)*, переліку контрагентів із якими укладено договори (договір) на поставку товару разом із копією аналогічного договору без додатків та Додаткових угод, що вказаний в довідці. Також в складі пропозиції надаються копії документів що підтверджують факт часткового або ж повного виконання договору (видаткова накладна, товарно-транспортна накладна, тощо).</w:t>
                  </w:r>
                </w:p>
                <w:p w14:paraId="6FE97323" w14:textId="01A6838C" w:rsidR="006E4977" w:rsidRPr="003B4461" w:rsidRDefault="006E4977" w:rsidP="006E4977">
                  <w:pPr>
                    <w:jc w:val="both"/>
                    <w:rPr>
                      <w:sz w:val="20"/>
                      <w:szCs w:val="20"/>
                      <w:lang w:eastAsia="uk-UA"/>
                    </w:rPr>
                  </w:pPr>
                  <w:r w:rsidRPr="003B4461">
                    <w:rPr>
                      <w:sz w:val="20"/>
                      <w:szCs w:val="20"/>
                    </w:rPr>
                    <w:t>1.2. Досвід виконання договорів (договору)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3B4461">
                    <w:rPr>
                      <w:sz w:val="20"/>
                      <w:szCs w:val="20"/>
                      <w:lang w:eastAsia="uk-UA"/>
                    </w:rPr>
                    <w:t xml:space="preserve">. </w:t>
                  </w:r>
                </w:p>
              </w:tc>
            </w:tr>
          </w:tbl>
          <w:p w14:paraId="2AF1DD39" w14:textId="77777777" w:rsidR="006E4977" w:rsidRPr="003B4461" w:rsidRDefault="006E4977" w:rsidP="006E4977">
            <w:pPr>
              <w:pStyle w:val="210"/>
              <w:spacing w:after="0" w:line="240" w:lineRule="auto"/>
              <w:ind w:left="60"/>
              <w:jc w:val="both"/>
              <w:rPr>
                <w:rFonts w:ascii="Times New Roman" w:hAnsi="Times New Roman"/>
                <w:i/>
                <w:sz w:val="20"/>
                <w:szCs w:val="20"/>
                <w:lang w:val="uk-UA" w:eastAsia="ru-RU"/>
              </w:rPr>
            </w:pPr>
            <w:r w:rsidRPr="003B4461">
              <w:rPr>
                <w:rFonts w:ascii="Times New Roman" w:hAnsi="Times New Roman"/>
                <w:i/>
                <w:sz w:val="20"/>
                <w:szCs w:val="20"/>
                <w:lang w:val="uk-UA" w:eastAsia="ru-RU"/>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5AE23D91" w14:textId="30DC1A6E" w:rsidR="0094247B" w:rsidRPr="003B4461" w:rsidRDefault="0094247B" w:rsidP="009D48CB">
            <w:pPr>
              <w:contextualSpacing/>
              <w:jc w:val="both"/>
              <w:rPr>
                <w:b/>
                <w:sz w:val="18"/>
                <w:szCs w:val="18"/>
              </w:rPr>
            </w:pPr>
          </w:p>
        </w:tc>
      </w:tr>
      <w:tr w:rsidR="003B4461" w:rsidRPr="003B4461" w14:paraId="34991BDC" w14:textId="77777777" w:rsidTr="006E4977">
        <w:trPr>
          <w:trHeight w:val="20"/>
        </w:trPr>
        <w:tc>
          <w:tcPr>
            <w:tcW w:w="1418" w:type="dxa"/>
            <w:vAlign w:val="center"/>
          </w:tcPr>
          <w:p w14:paraId="5E40E9A1" w14:textId="17ABD7F6" w:rsidR="006E4977" w:rsidRPr="003B4461" w:rsidRDefault="006E4977" w:rsidP="006E4977">
            <w:pPr>
              <w:ind w:left="-108" w:right="-108"/>
              <w:jc w:val="both"/>
              <w:rPr>
                <w:sz w:val="20"/>
                <w:szCs w:val="20"/>
              </w:rPr>
            </w:pPr>
            <w:r w:rsidRPr="003B4461">
              <w:rPr>
                <w:sz w:val="20"/>
                <w:szCs w:val="20"/>
              </w:rPr>
              <w:t>п. 5.2.4. ч.2 (Інша інформація) Розділу V ТД</w:t>
            </w:r>
          </w:p>
        </w:tc>
        <w:tc>
          <w:tcPr>
            <w:tcW w:w="7655" w:type="dxa"/>
            <w:shd w:val="clear" w:color="auto" w:fill="auto"/>
            <w:vAlign w:val="center"/>
          </w:tcPr>
          <w:p w14:paraId="040A445D" w14:textId="77777777" w:rsidR="006E4977" w:rsidRPr="003B4461" w:rsidRDefault="006E4977" w:rsidP="006E4977">
            <w:pPr>
              <w:ind w:right="100"/>
              <w:contextualSpacing/>
              <w:jc w:val="both"/>
              <w:rPr>
                <w:strike/>
                <w:sz w:val="20"/>
                <w:szCs w:val="20"/>
                <w:shd w:val="clear" w:color="auto" w:fill="FFFFFF"/>
              </w:rPr>
            </w:pPr>
            <w:r w:rsidRPr="003B4461">
              <w:rPr>
                <w:strike/>
                <w:sz w:val="20"/>
                <w:szCs w:val="20"/>
              </w:rPr>
              <w:t xml:space="preserve">5.2.4. На виконання частини третьої статті 7 Закону України «Про енергетичну ефективність» Замовник вказує в тендерній документації </w:t>
            </w:r>
            <w:r w:rsidRPr="003B4461">
              <w:rPr>
                <w:strike/>
                <w:sz w:val="20"/>
                <w:szCs w:val="20"/>
                <w:shd w:val="clear" w:color="auto" w:fill="FFFFFF"/>
              </w:rPr>
              <w:t>вимоги до енергоспоживчої продукції (товарів) щодо класу енергетичної ефективності або відповідності індикативним показникам, визначеним нормативно-правовими актами у сфері екодизайну або стандартами у сфері екологічного маркування типу I.</w:t>
            </w:r>
          </w:p>
          <w:p w14:paraId="18ED5A30" w14:textId="77777777" w:rsidR="006E4977" w:rsidRPr="003B4461" w:rsidRDefault="006E4977" w:rsidP="006E4977">
            <w:pPr>
              <w:ind w:right="100"/>
              <w:contextualSpacing/>
              <w:jc w:val="both"/>
              <w:rPr>
                <w:strike/>
                <w:sz w:val="20"/>
                <w:szCs w:val="20"/>
                <w:shd w:val="clear" w:color="auto" w:fill="FFFFFF"/>
              </w:rPr>
            </w:pPr>
            <w:r w:rsidRPr="003B4461">
              <w:rPr>
                <w:strike/>
                <w:sz w:val="20"/>
                <w:szCs w:val="20"/>
              </w:rPr>
              <w:t xml:space="preserve">Частиною першою статті 7 Закону України «Про енергетичну ефективність» визначено, що </w:t>
            </w:r>
            <w:r w:rsidRPr="003B4461">
              <w:rPr>
                <w:strike/>
                <w:sz w:val="20"/>
                <w:szCs w:val="20"/>
                <w:shd w:val="clear" w:color="auto" w:fill="FFFFFF"/>
              </w:rPr>
              <w:t xml:space="preserve">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w:t>
            </w:r>
            <w:r w:rsidRPr="003B4461">
              <w:rPr>
                <w:strike/>
                <w:sz w:val="20"/>
                <w:szCs w:val="20"/>
                <w:shd w:val="clear" w:color="auto" w:fill="FFFFFF"/>
              </w:rPr>
              <w:lastRenderedPageBreak/>
              <w:t>актами у сфері екодизайну, або така продукція (товари) повинна відповідати стандартам у сфері екологічного маркування типу I.</w:t>
            </w:r>
          </w:p>
          <w:p w14:paraId="64A991F7" w14:textId="77777777" w:rsidR="006E4977" w:rsidRPr="003B4461" w:rsidRDefault="006E4977" w:rsidP="006E4977">
            <w:pPr>
              <w:autoSpaceDN w:val="0"/>
              <w:adjustRightInd w:val="0"/>
              <w:ind w:right="100"/>
              <w:contextualSpacing/>
              <w:jc w:val="both"/>
              <w:rPr>
                <w:strike/>
                <w:sz w:val="20"/>
                <w:szCs w:val="20"/>
              </w:rPr>
            </w:pPr>
            <w:r w:rsidRPr="003B4461">
              <w:rPr>
                <w:strike/>
                <w:sz w:val="20"/>
                <w:szCs w:val="20"/>
                <w:shd w:val="clear" w:color="auto" w:fill="FFFFFF"/>
              </w:rPr>
              <w:t xml:space="preserve">Учасники закупівлі на виконання </w:t>
            </w:r>
            <w:r w:rsidRPr="003B4461">
              <w:rPr>
                <w:strike/>
                <w:sz w:val="20"/>
                <w:szCs w:val="20"/>
              </w:rPr>
              <w:t>частини четвертої статті 7 Закону України «Про енергетичну ефективність»</w:t>
            </w:r>
            <w:r w:rsidRPr="003B4461">
              <w:rPr>
                <w:strike/>
                <w:sz w:val="20"/>
                <w:szCs w:val="20"/>
                <w:shd w:val="clear" w:color="auto" w:fill="FFFFFF"/>
              </w:rPr>
              <w:t xml:space="preserve">, Учасник надає в складі своєї </w:t>
            </w:r>
            <w:r w:rsidRPr="003B4461">
              <w:rPr>
                <w:b/>
                <w:i/>
                <w:strike/>
                <w:sz w:val="20"/>
                <w:szCs w:val="20"/>
                <w:shd w:val="clear" w:color="auto" w:fill="FFFFFF"/>
              </w:rPr>
              <w:t>лист в довільній формі з гарантією того, що товар запропонований Учасником, відповідає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будуть відповідати індикативним показникам, визначеним нормативно-правовими актами у сфері екодизайну, або така продукція (товари) буде відповідати стандартам у сфері екологічного маркування типу I</w:t>
            </w:r>
            <w:r w:rsidRPr="003B4461">
              <w:rPr>
                <w:i/>
                <w:strike/>
                <w:sz w:val="20"/>
                <w:szCs w:val="20"/>
                <w:shd w:val="clear" w:color="auto" w:fill="FFFFFF"/>
              </w:rPr>
              <w:t>.</w:t>
            </w:r>
          </w:p>
          <w:p w14:paraId="7B4FA0AC" w14:textId="77777777" w:rsidR="006E4977" w:rsidRPr="003B4461" w:rsidRDefault="006E4977" w:rsidP="006E4977">
            <w:pPr>
              <w:pStyle w:val="210"/>
              <w:spacing w:after="0" w:line="240" w:lineRule="auto"/>
              <w:ind w:left="0" w:right="100"/>
              <w:contextualSpacing/>
              <w:jc w:val="both"/>
              <w:rPr>
                <w:rFonts w:ascii="Times New Roman" w:hAnsi="Times New Roman"/>
                <w:strike/>
                <w:sz w:val="20"/>
                <w:szCs w:val="20"/>
                <w:lang w:val="uk-UA"/>
              </w:rPr>
            </w:pPr>
          </w:p>
        </w:tc>
        <w:tc>
          <w:tcPr>
            <w:tcW w:w="7372" w:type="dxa"/>
            <w:vAlign w:val="center"/>
          </w:tcPr>
          <w:p w14:paraId="38D3E8DC" w14:textId="367FB4C2" w:rsidR="006E4977" w:rsidRPr="003B4461" w:rsidRDefault="006E4977" w:rsidP="006E4977">
            <w:pPr>
              <w:pStyle w:val="210"/>
              <w:spacing w:after="0" w:line="240" w:lineRule="auto"/>
              <w:ind w:left="0" w:right="100"/>
              <w:contextualSpacing/>
              <w:jc w:val="center"/>
              <w:rPr>
                <w:rFonts w:ascii="Times New Roman" w:hAnsi="Times New Roman"/>
                <w:sz w:val="20"/>
                <w:szCs w:val="20"/>
                <w:lang w:val="uk-UA"/>
              </w:rPr>
            </w:pPr>
            <w:r w:rsidRPr="003B4461">
              <w:rPr>
                <w:rFonts w:ascii="Times New Roman" w:hAnsi="Times New Roman"/>
                <w:sz w:val="20"/>
                <w:szCs w:val="20"/>
                <w:lang w:val="uk-UA"/>
              </w:rPr>
              <w:lastRenderedPageBreak/>
              <w:t>____________________________________________________</w:t>
            </w:r>
          </w:p>
        </w:tc>
      </w:tr>
    </w:tbl>
    <w:p w14:paraId="0C402825" w14:textId="1FA624D2" w:rsidR="00FC5C37" w:rsidRPr="003B4461" w:rsidRDefault="00BD414B" w:rsidP="008D3271">
      <w:pPr>
        <w:shd w:val="clear" w:color="auto" w:fill="FFFFFF"/>
        <w:tabs>
          <w:tab w:val="left" w:pos="720"/>
        </w:tabs>
        <w:rPr>
          <w:b/>
        </w:rPr>
      </w:pPr>
      <w:r w:rsidRPr="003B4461">
        <w:rPr>
          <w:b/>
        </w:rPr>
        <w:lastRenderedPageBreak/>
        <w:t xml:space="preserve">            </w:t>
      </w:r>
    </w:p>
    <w:p w14:paraId="7B5EC65B" w14:textId="77777777" w:rsidR="00FC5C37" w:rsidRPr="003B4461" w:rsidRDefault="00FC5C37" w:rsidP="008D3271">
      <w:pPr>
        <w:shd w:val="clear" w:color="auto" w:fill="FFFFFF"/>
        <w:tabs>
          <w:tab w:val="left" w:pos="720"/>
        </w:tabs>
        <w:rPr>
          <w:b/>
        </w:rPr>
      </w:pPr>
    </w:p>
    <w:p w14:paraId="4A1E19B5" w14:textId="77777777" w:rsidR="00FC5C37" w:rsidRPr="003B4461" w:rsidRDefault="00FC5C37" w:rsidP="008D3271">
      <w:pPr>
        <w:shd w:val="clear" w:color="auto" w:fill="FFFFFF"/>
        <w:tabs>
          <w:tab w:val="left" w:pos="720"/>
        </w:tabs>
        <w:rPr>
          <w:b/>
        </w:rPr>
      </w:pPr>
    </w:p>
    <w:p w14:paraId="1BA3EEB8" w14:textId="77C45203" w:rsidR="008D3271" w:rsidRPr="003B4461" w:rsidRDefault="00FC5C37" w:rsidP="008D3271">
      <w:pPr>
        <w:shd w:val="clear" w:color="auto" w:fill="FFFFFF"/>
        <w:tabs>
          <w:tab w:val="left" w:pos="720"/>
        </w:tabs>
        <w:rPr>
          <w:b/>
        </w:rPr>
      </w:pPr>
      <w:r w:rsidRPr="003B4461">
        <w:rPr>
          <w:b/>
        </w:rPr>
        <w:tab/>
      </w:r>
      <w:r w:rsidRPr="003B4461">
        <w:rPr>
          <w:b/>
        </w:rPr>
        <w:tab/>
      </w:r>
      <w:r w:rsidR="00BD414B" w:rsidRPr="003B4461">
        <w:rPr>
          <w:b/>
        </w:rPr>
        <w:t xml:space="preserve"> </w:t>
      </w:r>
      <w:r w:rsidR="00DD40DC" w:rsidRPr="003B4461">
        <w:rPr>
          <w:b/>
        </w:rPr>
        <w:t>Уповноважена особа</w:t>
      </w:r>
      <w:r w:rsidR="00DD40DC" w:rsidRPr="003B4461">
        <w:rPr>
          <w:b/>
        </w:rPr>
        <w:tab/>
      </w:r>
      <w:r w:rsidR="0094247B" w:rsidRPr="003B4461">
        <w:rPr>
          <w:b/>
        </w:rPr>
        <w:tab/>
      </w:r>
      <w:r w:rsidR="0094247B" w:rsidRPr="003B4461">
        <w:rPr>
          <w:b/>
        </w:rPr>
        <w:tab/>
      </w:r>
      <w:r w:rsidR="009D48CB" w:rsidRPr="003B4461">
        <w:rPr>
          <w:b/>
        </w:rPr>
        <w:tab/>
      </w:r>
      <w:r w:rsidR="008D3271" w:rsidRPr="003B4461">
        <w:rPr>
          <w:b/>
          <w:bCs/>
          <w:spacing w:val="1"/>
        </w:rPr>
        <w:t xml:space="preserve">_____________ </w:t>
      </w:r>
      <w:r w:rsidR="008D3271"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94247B" w:rsidRPr="003B4461">
        <w:rPr>
          <w:b/>
          <w:bCs/>
          <w:spacing w:val="1"/>
        </w:rPr>
        <w:tab/>
      </w:r>
      <w:r w:rsidR="006E4977" w:rsidRPr="003B4461">
        <w:rPr>
          <w:b/>
        </w:rPr>
        <w:t>Кравчик Ігор Володимирович</w:t>
      </w:r>
    </w:p>
    <w:p w14:paraId="7B09C3A9" w14:textId="400FAB36" w:rsidR="00732F4D" w:rsidRPr="003B4461" w:rsidRDefault="007311E9" w:rsidP="00917E62">
      <w:pPr>
        <w:shd w:val="clear" w:color="auto" w:fill="FFFFFF"/>
        <w:tabs>
          <w:tab w:val="left" w:pos="720"/>
        </w:tabs>
        <w:rPr>
          <w:b/>
          <w:bCs/>
          <w:spacing w:val="1"/>
        </w:rPr>
      </w:pPr>
      <w:r w:rsidRPr="003B4461">
        <w:rPr>
          <w:b/>
          <w:bCs/>
          <w:spacing w:val="1"/>
        </w:rPr>
        <w:tab/>
      </w:r>
      <w:r w:rsidRPr="003B4461">
        <w:rPr>
          <w:b/>
          <w:bCs/>
          <w:spacing w:val="1"/>
        </w:rPr>
        <w:tab/>
      </w:r>
      <w:r w:rsidRPr="003B4461">
        <w:rPr>
          <w:b/>
          <w:bCs/>
          <w:spacing w:val="1"/>
        </w:rPr>
        <w:tab/>
      </w:r>
      <w:r w:rsidRPr="003B4461">
        <w:rPr>
          <w:b/>
          <w:bCs/>
          <w:spacing w:val="1"/>
        </w:rPr>
        <w:tab/>
      </w:r>
      <w:r w:rsidRPr="003B4461">
        <w:rPr>
          <w:b/>
          <w:bCs/>
          <w:spacing w:val="1"/>
        </w:rPr>
        <w:tab/>
      </w:r>
      <w:r w:rsidR="00DD40DC" w:rsidRPr="003B4461">
        <w:rPr>
          <w:b/>
          <w:bCs/>
          <w:spacing w:val="1"/>
        </w:rPr>
        <w:t xml:space="preserve">             </w:t>
      </w:r>
      <w:r w:rsidR="0094247B" w:rsidRPr="003B4461">
        <w:rPr>
          <w:b/>
          <w:bCs/>
          <w:spacing w:val="1"/>
        </w:rPr>
        <w:tab/>
      </w:r>
      <w:r w:rsidR="0094247B" w:rsidRPr="003B4461">
        <w:rPr>
          <w:b/>
          <w:bCs/>
          <w:spacing w:val="1"/>
        </w:rPr>
        <w:tab/>
      </w:r>
      <w:r w:rsidR="0094247B" w:rsidRPr="003B4461">
        <w:rPr>
          <w:b/>
          <w:bCs/>
          <w:spacing w:val="1"/>
        </w:rPr>
        <w:tab/>
      </w:r>
      <w:r w:rsidR="00DD40DC" w:rsidRPr="003B4461">
        <w:rPr>
          <w:b/>
          <w:bCs/>
          <w:spacing w:val="1"/>
        </w:rPr>
        <w:t xml:space="preserve">    </w:t>
      </w:r>
      <w:r w:rsidR="008D3271" w:rsidRPr="003B4461">
        <w:rPr>
          <w:b/>
          <w:bCs/>
          <w:spacing w:val="1"/>
        </w:rPr>
        <w:t>м.п.</w:t>
      </w:r>
      <w:bookmarkEnd w:id="0"/>
    </w:p>
    <w:sectPr w:rsidR="00732F4D" w:rsidRPr="003B4461" w:rsidSect="004A2A75">
      <w:pgSz w:w="16838" w:h="11906" w:orient="landscape"/>
      <w:pgMar w:top="426"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6FCF"/>
    <w:rsid w:val="002A2671"/>
    <w:rsid w:val="002B3AA5"/>
    <w:rsid w:val="002D2BC5"/>
    <w:rsid w:val="002F54CC"/>
    <w:rsid w:val="002F6F0D"/>
    <w:rsid w:val="002F7E5F"/>
    <w:rsid w:val="003211F7"/>
    <w:rsid w:val="00323DFC"/>
    <w:rsid w:val="00394948"/>
    <w:rsid w:val="003B4461"/>
    <w:rsid w:val="003B4E84"/>
    <w:rsid w:val="003D2558"/>
    <w:rsid w:val="003D6020"/>
    <w:rsid w:val="003F6CC1"/>
    <w:rsid w:val="00414BEC"/>
    <w:rsid w:val="004210DF"/>
    <w:rsid w:val="00430D82"/>
    <w:rsid w:val="00487F19"/>
    <w:rsid w:val="004924A9"/>
    <w:rsid w:val="0049446D"/>
    <w:rsid w:val="004A2A75"/>
    <w:rsid w:val="004B71E5"/>
    <w:rsid w:val="004E24AC"/>
    <w:rsid w:val="00502010"/>
    <w:rsid w:val="005235DC"/>
    <w:rsid w:val="0056610B"/>
    <w:rsid w:val="005D2E95"/>
    <w:rsid w:val="005E38E8"/>
    <w:rsid w:val="00637112"/>
    <w:rsid w:val="0064090C"/>
    <w:rsid w:val="00661670"/>
    <w:rsid w:val="00661C89"/>
    <w:rsid w:val="006C752B"/>
    <w:rsid w:val="006D0CAA"/>
    <w:rsid w:val="006E4977"/>
    <w:rsid w:val="00722404"/>
    <w:rsid w:val="007311E9"/>
    <w:rsid w:val="00732F4D"/>
    <w:rsid w:val="007400F2"/>
    <w:rsid w:val="00740FF0"/>
    <w:rsid w:val="007820A2"/>
    <w:rsid w:val="007D7A4D"/>
    <w:rsid w:val="007F6CC9"/>
    <w:rsid w:val="00800738"/>
    <w:rsid w:val="00807859"/>
    <w:rsid w:val="00815A8A"/>
    <w:rsid w:val="008215E0"/>
    <w:rsid w:val="0084134F"/>
    <w:rsid w:val="00845E21"/>
    <w:rsid w:val="00874822"/>
    <w:rsid w:val="008957F2"/>
    <w:rsid w:val="008B5CE8"/>
    <w:rsid w:val="008D3271"/>
    <w:rsid w:val="008E47E9"/>
    <w:rsid w:val="0091401F"/>
    <w:rsid w:val="00916334"/>
    <w:rsid w:val="00917E62"/>
    <w:rsid w:val="00932211"/>
    <w:rsid w:val="0094247B"/>
    <w:rsid w:val="009705DF"/>
    <w:rsid w:val="00976967"/>
    <w:rsid w:val="009819EE"/>
    <w:rsid w:val="009822A9"/>
    <w:rsid w:val="00994861"/>
    <w:rsid w:val="009A7F22"/>
    <w:rsid w:val="009C73E1"/>
    <w:rsid w:val="009D48CB"/>
    <w:rsid w:val="009E6795"/>
    <w:rsid w:val="00A24DB4"/>
    <w:rsid w:val="00A27F4C"/>
    <w:rsid w:val="00A441F5"/>
    <w:rsid w:val="00A83C45"/>
    <w:rsid w:val="00A86111"/>
    <w:rsid w:val="00AB71BB"/>
    <w:rsid w:val="00AC7304"/>
    <w:rsid w:val="00AF49AE"/>
    <w:rsid w:val="00B228EE"/>
    <w:rsid w:val="00B56D48"/>
    <w:rsid w:val="00B97EF6"/>
    <w:rsid w:val="00BD414B"/>
    <w:rsid w:val="00C276E6"/>
    <w:rsid w:val="00C86D12"/>
    <w:rsid w:val="00C9049B"/>
    <w:rsid w:val="00C9455C"/>
    <w:rsid w:val="00CA1A8B"/>
    <w:rsid w:val="00CC5676"/>
    <w:rsid w:val="00CF6793"/>
    <w:rsid w:val="00D03589"/>
    <w:rsid w:val="00D17B92"/>
    <w:rsid w:val="00DC57B4"/>
    <w:rsid w:val="00DD40DC"/>
    <w:rsid w:val="00DE4E7F"/>
    <w:rsid w:val="00E422BC"/>
    <w:rsid w:val="00E56148"/>
    <w:rsid w:val="00E71699"/>
    <w:rsid w:val="00E91417"/>
    <w:rsid w:val="00EA6930"/>
    <w:rsid w:val="00EA71FA"/>
    <w:rsid w:val="00EB05AC"/>
    <w:rsid w:val="00EE479C"/>
    <w:rsid w:val="00F134B7"/>
    <w:rsid w:val="00F4450E"/>
    <w:rsid w:val="00F50EFC"/>
    <w:rsid w:val="00F64EF8"/>
    <w:rsid w:val="00FA24BE"/>
    <w:rsid w:val="00FB3765"/>
    <w:rsid w:val="00FB4EE8"/>
    <w:rsid w:val="00FC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3">
    <w:name w:val="Верхний колонтитул Знак"/>
    <w:basedOn w:val="a0"/>
    <w:link w:val="af2"/>
    <w:uiPriority w:val="99"/>
    <w:rsid w:val="00CC5676"/>
    <w:rPr>
      <w:rFonts w:eastAsia="Times New Roman"/>
      <w:sz w:val="22"/>
      <w:szCs w:val="22"/>
      <w:lang w:val="x-none" w:eastAsia="x-none"/>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3">
    <w:name w:val="Верхний колонтитул Знак"/>
    <w:basedOn w:val="a0"/>
    <w:link w:val="af2"/>
    <w:uiPriority w:val="99"/>
    <w:rsid w:val="00CC5676"/>
    <w:rPr>
      <w:rFonts w:eastAsia="Times New Roman"/>
      <w:sz w:val="22"/>
      <w:szCs w:val="22"/>
      <w:lang w:val="x-none" w:eastAsia="x-none"/>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BE6A-BFF2-4875-817E-9136442A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4</cp:revision>
  <cp:lastPrinted>2024-03-14T10:40:00Z</cp:lastPrinted>
  <dcterms:created xsi:type="dcterms:W3CDTF">2024-04-26T11:20:00Z</dcterms:created>
  <dcterms:modified xsi:type="dcterms:W3CDTF">2024-04-26T11:37:00Z</dcterms:modified>
</cp:coreProperties>
</file>