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65" w:rsidRPr="001A500A" w:rsidRDefault="001A500A" w:rsidP="001A500A">
      <w:pPr>
        <w:pStyle w:val="normal"/>
        <w:pBdr>
          <w:top w:val="nil"/>
          <w:left w:val="nil"/>
          <w:bottom w:val="nil"/>
          <w:right w:val="nil"/>
          <w:between w:val="nil"/>
        </w:pBdr>
        <w:spacing w:after="200" w:line="276" w:lineRule="auto"/>
        <w:jc w:val="right"/>
        <w:rPr>
          <w:rFonts w:ascii="Calibri" w:eastAsia="Calibri" w:hAnsi="Calibri" w:cs="Calibri"/>
          <w:i/>
          <w:color w:val="000000"/>
          <w:sz w:val="22"/>
          <w:szCs w:val="22"/>
        </w:rPr>
      </w:pPr>
      <w:r w:rsidRPr="001A500A">
        <w:rPr>
          <w:i/>
          <w:color w:val="000000"/>
          <w:sz w:val="24"/>
          <w:szCs w:val="24"/>
        </w:rPr>
        <w:t xml:space="preserve">Додаток № 2 до тендерної документації </w:t>
      </w:r>
      <w:r w:rsidR="00075AA7">
        <w:rPr>
          <w:color w:val="000000"/>
          <w:sz w:val="24"/>
          <w:szCs w:val="24"/>
        </w:rPr>
        <w:t xml:space="preserve"> </w:t>
      </w:r>
    </w:p>
    <w:p w:rsidR="00AE2B65" w:rsidRDefault="00075AA7">
      <w:pPr>
        <w:pStyle w:val="normal"/>
        <w:pBdr>
          <w:top w:val="nil"/>
          <w:left w:val="nil"/>
          <w:bottom w:val="nil"/>
          <w:right w:val="nil"/>
          <w:between w:val="nil"/>
        </w:pBdr>
        <w:spacing w:after="200" w:line="276" w:lineRule="auto"/>
        <w:jc w:val="center"/>
        <w:rPr>
          <w:color w:val="000000"/>
          <w:sz w:val="24"/>
          <w:szCs w:val="24"/>
        </w:rPr>
      </w:pPr>
      <w:r w:rsidRPr="001A500A">
        <w:rPr>
          <w:b/>
          <w:color w:val="000000"/>
          <w:sz w:val="24"/>
          <w:szCs w:val="24"/>
        </w:rPr>
        <w:t>Підстави для відмови  в участі в процедурі закупівлі  (пункт 47 Особливостей)</w:t>
      </w:r>
      <w:r>
        <w:rPr>
          <w:color w:val="000000"/>
          <w:sz w:val="24"/>
          <w:szCs w:val="24"/>
        </w:rPr>
        <w:t xml:space="preserve">. </w:t>
      </w:r>
    </w:p>
    <w:p w:rsidR="00AE2B65" w:rsidRDefault="00075AA7">
      <w:pPr>
        <w:pStyle w:val="normal"/>
        <w:widowControl w:val="0"/>
        <w:pBdr>
          <w:top w:val="nil"/>
          <w:left w:val="nil"/>
          <w:bottom w:val="nil"/>
          <w:right w:val="nil"/>
          <w:between w:val="nil"/>
        </w:pBdr>
        <w:spacing w:before="120" w:line="276" w:lineRule="auto"/>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AE2B65" w:rsidRDefault="00075AA7">
      <w:pPr>
        <w:pStyle w:val="normal"/>
        <w:widowControl w:val="0"/>
        <w:pBdr>
          <w:top w:val="nil"/>
          <w:left w:val="nil"/>
          <w:bottom w:val="nil"/>
          <w:right w:val="nil"/>
          <w:between w:val="nil"/>
        </w:pBdr>
        <w:spacing w:before="120" w:line="276" w:lineRule="auto"/>
        <w:jc w:val="both"/>
        <w:rPr>
          <w:color w:val="000000"/>
          <w:sz w:val="24"/>
          <w:szCs w:val="24"/>
          <w:highlight w:val="white"/>
        </w:rPr>
      </w:pPr>
      <w:r>
        <w:rPr>
          <w:color w:val="000000"/>
          <w:sz w:val="24"/>
          <w:szCs w:val="24"/>
        </w:rPr>
        <w:t>Учасник проц</w:t>
      </w:r>
      <w:r>
        <w:rPr>
          <w:color w:val="000000"/>
          <w:sz w:val="24"/>
          <w:szCs w:val="24"/>
          <w:highlight w:val="white"/>
        </w:rPr>
        <w:t xml:space="preserve">едури закупівлі підтверджує відсутність підстав, зазначених в пункті 47 </w:t>
      </w:r>
      <w:r w:rsidR="00632E9E">
        <w:rPr>
          <w:color w:val="000000"/>
          <w:sz w:val="24"/>
          <w:szCs w:val="24"/>
          <w:highlight w:val="white"/>
        </w:rPr>
        <w:t>Особливостей (крім підпунктів 1 і</w:t>
      </w:r>
      <w:r>
        <w:rPr>
          <w:color w:val="000000"/>
          <w:sz w:val="24"/>
          <w:szCs w:val="24"/>
          <w:highlight w:val="white"/>
        </w:rPr>
        <w:t xml:space="preserve">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E2B65" w:rsidRDefault="00075AA7">
      <w:pPr>
        <w:pStyle w:val="normal"/>
        <w:widowControl w:val="0"/>
        <w:pBdr>
          <w:top w:val="nil"/>
          <w:left w:val="nil"/>
          <w:bottom w:val="nil"/>
          <w:right w:val="nil"/>
          <w:between w:val="nil"/>
        </w:pBdr>
        <w:spacing w:before="120" w:line="276" w:lineRule="auto"/>
        <w:jc w:val="both"/>
        <w:rPr>
          <w:color w:val="000000"/>
          <w:sz w:val="24"/>
          <w:szCs w:val="24"/>
          <w:highlight w:val="white"/>
        </w:rPr>
      </w:pPr>
      <w:r>
        <w:rPr>
          <w:color w:val="000000"/>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AE2B65" w:rsidRDefault="00075AA7">
      <w:pPr>
        <w:pStyle w:val="normal"/>
        <w:widowControl w:val="0"/>
        <w:pBdr>
          <w:top w:val="nil"/>
          <w:left w:val="nil"/>
          <w:bottom w:val="nil"/>
          <w:right w:val="nil"/>
          <w:between w:val="nil"/>
        </w:pBdr>
        <w:spacing w:after="200" w:line="276" w:lineRule="auto"/>
        <w:jc w:val="both"/>
        <w:rPr>
          <w:color w:val="000000"/>
          <w:sz w:val="24"/>
          <w:szCs w:val="24"/>
          <w:highlight w:val="white"/>
        </w:rPr>
      </w:pPr>
      <w:r>
        <w:rPr>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AE2B65" w:rsidRDefault="00075AA7">
      <w:pPr>
        <w:pStyle w:val="normal"/>
        <w:widowControl w:val="0"/>
        <w:pBdr>
          <w:top w:val="nil"/>
          <w:left w:val="nil"/>
          <w:bottom w:val="nil"/>
          <w:right w:val="nil"/>
          <w:between w:val="nil"/>
        </w:pBdr>
        <w:spacing w:before="120" w:line="276" w:lineRule="auto"/>
        <w:jc w:val="both"/>
        <w:rPr>
          <w:color w:val="000000"/>
          <w:sz w:val="24"/>
          <w:szCs w:val="24"/>
        </w:rPr>
      </w:pPr>
      <w:r>
        <w:rPr>
          <w:color w:val="000000"/>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sz w:val="24"/>
          <w:szCs w:val="24"/>
        </w:rPr>
        <w:t xml:space="preserve"> учасників об’єднання установленим кваліфікаційним критеріям та підставам, визначеним пунктом 47 Особливостей.</w:t>
      </w:r>
    </w:p>
    <w:p w:rsidR="00AE2B65" w:rsidRDefault="00075AA7">
      <w:pPr>
        <w:pStyle w:val="normal"/>
        <w:widowControl w:val="0"/>
        <w:pBdr>
          <w:top w:val="nil"/>
          <w:left w:val="nil"/>
          <w:bottom w:val="nil"/>
          <w:right w:val="nil"/>
          <w:between w:val="nil"/>
        </w:pBdr>
        <w:spacing w:before="120" w:line="276" w:lineRule="auto"/>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E2B65" w:rsidRDefault="00075AA7">
      <w:pPr>
        <w:pStyle w:val="normal"/>
        <w:widowControl w:val="0"/>
        <w:pBdr>
          <w:top w:val="nil"/>
          <w:left w:val="nil"/>
          <w:bottom w:val="nil"/>
          <w:right w:val="nil"/>
          <w:between w:val="nil"/>
        </w:pBdr>
        <w:spacing w:before="120" w:line="276" w:lineRule="auto"/>
        <w:jc w:val="both"/>
        <w:rPr>
          <w:color w:val="000000"/>
          <w:sz w:val="24"/>
          <w:szCs w:val="24"/>
        </w:rPr>
      </w:pPr>
      <w:r>
        <w:rPr>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A3A61" w:rsidRDefault="002A3A61">
      <w:pPr>
        <w:pStyle w:val="normal"/>
        <w:widowControl w:val="0"/>
        <w:pBdr>
          <w:top w:val="nil"/>
          <w:left w:val="nil"/>
          <w:bottom w:val="nil"/>
          <w:right w:val="nil"/>
          <w:between w:val="nil"/>
        </w:pBdr>
        <w:spacing w:before="120" w:line="276" w:lineRule="auto"/>
        <w:jc w:val="both"/>
        <w:rPr>
          <w:color w:val="000000"/>
          <w:sz w:val="22"/>
          <w:szCs w:val="22"/>
        </w:rPr>
      </w:pPr>
    </w:p>
    <w:tbl>
      <w:tblPr>
        <w:tblStyle w:val="a5"/>
        <w:tblW w:w="9580" w:type="dxa"/>
        <w:tblInd w:w="-113" w:type="dxa"/>
        <w:tblLayout w:type="fixed"/>
        <w:tblLook w:val="0000"/>
      </w:tblPr>
      <w:tblGrid>
        <w:gridCol w:w="674"/>
        <w:gridCol w:w="3559"/>
        <w:gridCol w:w="2867"/>
        <w:gridCol w:w="2480"/>
      </w:tblGrid>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 з/п</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Підстава для відмови в участі процедурі закупівлі</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Для учасника</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Для переможця</w:t>
            </w:r>
          </w:p>
        </w:tc>
      </w:tr>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lastRenderedPageBreak/>
              <w:t xml:space="preserve"> 1</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highlight w:val="white"/>
              </w:rPr>
            </w:pPr>
            <w:r w:rsidRPr="002A3A61">
              <w:rPr>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highlight w:val="white"/>
              </w:rPr>
              <w:t xml:space="preserve">Замовник самостійно за результатами розгляду тендерної пропозиції учасника процедури закупівлі </w:t>
            </w:r>
            <w:r w:rsidRPr="002A3A61">
              <w:rPr>
                <w:color w:val="000000" w:themeColor="text1"/>
                <w:sz w:val="24"/>
                <w:szCs w:val="24"/>
              </w:rPr>
              <w:t xml:space="preserve"> підтверджує в електронній системі закупівель відсутність </w:t>
            </w:r>
            <w:r w:rsidRPr="002A3A61">
              <w:rPr>
                <w:color w:val="000000" w:themeColor="text1"/>
                <w:sz w:val="24"/>
                <w:szCs w:val="24"/>
                <w:highlight w:val="white"/>
              </w:rPr>
              <w:t xml:space="preserve">в учасника </w:t>
            </w:r>
            <w:r w:rsidRPr="002A3A61">
              <w:rPr>
                <w:color w:val="000000" w:themeColor="text1"/>
                <w:sz w:val="24"/>
                <w:szCs w:val="24"/>
              </w:rPr>
              <w:t>підстав, визначених цим підпунктом.</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Підтвердження не вимагається</w:t>
            </w:r>
          </w:p>
        </w:tc>
      </w:tr>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2</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Підтвердження не вимагається</w:t>
            </w:r>
          </w:p>
        </w:tc>
      </w:tr>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3</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4</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3A61">
              <w:rPr>
                <w:color w:val="000000" w:themeColor="text1"/>
                <w:sz w:val="24"/>
                <w:szCs w:val="24"/>
              </w:rPr>
              <w:t>антиконкурентних</w:t>
            </w:r>
            <w:proofErr w:type="spellEnd"/>
            <w:r w:rsidRPr="002A3A61">
              <w:rPr>
                <w:color w:val="000000" w:themeColor="text1"/>
                <w:sz w:val="24"/>
                <w:szCs w:val="24"/>
              </w:rPr>
              <w:t xml:space="preserve"> узгоджених дій, що стосуються спотворення результатів тендерів</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Підтвердження не вимагається</w:t>
            </w:r>
          </w:p>
        </w:tc>
      </w:tr>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5</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2A3A61">
              <w:rPr>
                <w:color w:val="000000" w:themeColor="text1"/>
                <w:sz w:val="24"/>
                <w:szCs w:val="24"/>
              </w:rPr>
              <w:lastRenderedPageBreak/>
              <w:t>пов’язане з хабарництвом та відмиванням коштів), судимість з якої не знято або не погашено в установленому законом порядку</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lastRenderedPageBreak/>
              <w:t xml:space="preserve">Учасник процедури закупівлі підтверджує відсутність підстав, шляхом самостійного декларування відсутності </w:t>
            </w:r>
            <w:r w:rsidRPr="002A3A61">
              <w:rPr>
                <w:color w:val="000000" w:themeColor="text1"/>
                <w:sz w:val="24"/>
                <w:szCs w:val="24"/>
              </w:rPr>
              <w:lastRenderedPageBreak/>
              <w:t>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lastRenderedPageBreak/>
              <w:t xml:space="preserve">Витяг про притягнення до кримінальної відповідальності, відсутність/ наявність </w:t>
            </w:r>
            <w:r w:rsidRPr="002A3A61">
              <w:rPr>
                <w:color w:val="000000" w:themeColor="text1"/>
                <w:sz w:val="24"/>
                <w:szCs w:val="24"/>
              </w:rPr>
              <w:lastRenderedPageBreak/>
              <w:t>судимості або обмежень, передбачених кримінально-процесуальним законодавством України (щодо керівника)</w:t>
            </w:r>
          </w:p>
        </w:tc>
      </w:tr>
      <w:tr w:rsidR="00AE2B65">
        <w:trPr>
          <w:trHeight w:val="2689"/>
        </w:trPr>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lastRenderedPageBreak/>
              <w:t>6</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7</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highlight w:val="white"/>
              </w:rPr>
            </w:pPr>
            <w:r w:rsidRPr="002A3A61">
              <w:rPr>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highlight w:val="white"/>
              </w:rPr>
              <w:t xml:space="preserve">Замовник самостійно за результатами розгляду тендерної пропозиції учасника процедури закупівлі </w:t>
            </w:r>
            <w:r w:rsidRPr="002A3A61">
              <w:rPr>
                <w:color w:val="000000" w:themeColor="text1"/>
                <w:sz w:val="24"/>
                <w:szCs w:val="24"/>
              </w:rPr>
              <w:t xml:space="preserve"> підтверджує в електронній системі закупівель відсутність </w:t>
            </w:r>
            <w:r w:rsidRPr="002A3A61">
              <w:rPr>
                <w:color w:val="000000" w:themeColor="text1"/>
                <w:sz w:val="24"/>
                <w:szCs w:val="24"/>
                <w:highlight w:val="white"/>
              </w:rPr>
              <w:t xml:space="preserve">в учасника </w:t>
            </w:r>
            <w:r w:rsidRPr="002A3A61">
              <w:rPr>
                <w:color w:val="000000" w:themeColor="text1"/>
                <w:sz w:val="24"/>
                <w:szCs w:val="24"/>
              </w:rPr>
              <w:t>підстав, визначених цим підпунктом.</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Підтвердження не вимагається</w:t>
            </w:r>
          </w:p>
        </w:tc>
      </w:tr>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8</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Підтвердження не вимагається</w:t>
            </w:r>
          </w:p>
        </w:tc>
      </w:tr>
      <w:tr w:rsidR="00AE2B65">
        <w:trPr>
          <w:trHeight w:val="2456"/>
        </w:trPr>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9</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w:t>
            </w:r>
            <w:r w:rsidR="002A3A61" w:rsidRPr="002A3A61">
              <w:rPr>
                <w:color w:val="000000" w:themeColor="text1"/>
                <w:sz w:val="24"/>
                <w:szCs w:val="24"/>
              </w:rPr>
              <w:t>ни «</w:t>
            </w:r>
            <w:r w:rsidRPr="002A3A61">
              <w:rPr>
                <w:color w:val="000000" w:themeColor="text1"/>
                <w:sz w:val="24"/>
                <w:szCs w:val="24"/>
              </w:rPr>
              <w:t>Про державну реєстрацію юридичних осіб, фізичних осіб — підпри</w:t>
            </w:r>
            <w:r w:rsidR="002A3A61" w:rsidRPr="002A3A61">
              <w:rPr>
                <w:color w:val="000000" w:themeColor="text1"/>
                <w:sz w:val="24"/>
                <w:szCs w:val="24"/>
              </w:rPr>
              <w:t xml:space="preserve">ємців та громадських формувань» </w:t>
            </w:r>
            <w:r w:rsidRPr="002A3A61">
              <w:rPr>
                <w:color w:val="000000" w:themeColor="text1"/>
                <w:sz w:val="24"/>
                <w:szCs w:val="24"/>
              </w:rPr>
              <w:t>(крім нерезидентів)</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Підтвердження не вимагається</w:t>
            </w:r>
          </w:p>
        </w:tc>
      </w:tr>
      <w:tr w:rsidR="00AE2B65">
        <w:trPr>
          <w:trHeight w:val="3753"/>
        </w:trPr>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lastRenderedPageBreak/>
              <w:t>10</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widowControl w:val="0"/>
              <w:pBdr>
                <w:top w:val="nil"/>
                <w:left w:val="nil"/>
                <w:bottom w:val="nil"/>
                <w:right w:val="nil"/>
                <w:between w:val="nil"/>
              </w:pBdr>
              <w:spacing w:before="120"/>
              <w:jc w:val="both"/>
              <w:rPr>
                <w:color w:val="000000" w:themeColor="text1"/>
                <w:sz w:val="24"/>
                <w:szCs w:val="24"/>
              </w:rPr>
            </w:pPr>
            <w:r w:rsidRPr="002A3A61">
              <w:rPr>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Підтвердження не вимагається</w:t>
            </w:r>
          </w:p>
        </w:tc>
      </w:tr>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11</w:t>
            </w:r>
          </w:p>
        </w:tc>
        <w:tc>
          <w:tcPr>
            <w:tcW w:w="3559" w:type="dxa"/>
            <w:tcBorders>
              <w:top w:val="single" w:sz="4" w:space="0" w:color="000000"/>
              <w:left w:val="single" w:sz="4" w:space="0" w:color="000000"/>
              <w:bottom w:val="single" w:sz="4" w:space="0" w:color="000000"/>
            </w:tcBorders>
          </w:tcPr>
          <w:p w:rsidR="00AE2B65" w:rsidRPr="002A3A61" w:rsidRDefault="002A3A61" w:rsidP="002A3A61">
            <w:pPr>
              <w:pStyle w:val="normal"/>
              <w:pBdr>
                <w:top w:val="nil"/>
                <w:left w:val="nil"/>
                <w:bottom w:val="nil"/>
                <w:right w:val="nil"/>
                <w:between w:val="nil"/>
              </w:pBdr>
              <w:rPr>
                <w:color w:val="000000" w:themeColor="text1"/>
                <w:sz w:val="24"/>
                <w:szCs w:val="24"/>
              </w:rPr>
            </w:pPr>
            <w:r>
              <w:rPr>
                <w:color w:val="000000" w:themeColor="text1"/>
                <w:sz w:val="24"/>
                <w:szCs w:val="24"/>
                <w:highlight w:val="white"/>
              </w:rPr>
              <w:t>У</w:t>
            </w:r>
            <w:r w:rsidR="00075AA7" w:rsidRPr="002A3A61">
              <w:rPr>
                <w:color w:val="000000" w:themeColor="text1"/>
                <w:sz w:val="24"/>
                <w:szCs w:val="24"/>
                <w:highlight w:val="white"/>
              </w:rPr>
              <w:t xml:space="preserve">часник процедури закупівлі або кінцевий </w:t>
            </w:r>
            <w:proofErr w:type="spellStart"/>
            <w:r w:rsidR="00075AA7" w:rsidRPr="002A3A61">
              <w:rPr>
                <w:color w:val="000000" w:themeColor="text1"/>
                <w:sz w:val="24"/>
                <w:szCs w:val="24"/>
                <w:highlight w:val="white"/>
              </w:rPr>
              <w:t>бенефіціарний</w:t>
            </w:r>
            <w:proofErr w:type="spellEnd"/>
            <w:r w:rsidR="00075AA7" w:rsidRPr="002A3A61">
              <w:rPr>
                <w:color w:val="000000" w:themeColor="text1"/>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Pr>
                <w:color w:val="000000" w:themeColor="text1"/>
                <w:sz w:val="24"/>
                <w:szCs w:val="24"/>
                <w:highlight w:val="white"/>
              </w:rPr>
              <w:t>слуг згідно із Законом України «Про санкції»</w:t>
            </w:r>
            <w:r w:rsidR="00075AA7" w:rsidRPr="002A3A61">
              <w:rPr>
                <w:color w:val="000000" w:themeColor="text1"/>
                <w:sz w:val="24"/>
                <w:szCs w:val="24"/>
                <w:highlight w:val="white"/>
              </w:rPr>
              <w:t>, крім випадку, коли активи такої особи в установленому законодавством порядку передані в управління АРМА</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Підтвердження не вимагається</w:t>
            </w:r>
          </w:p>
        </w:tc>
      </w:tr>
      <w:tr w:rsidR="00AE2B65">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12</w:t>
            </w:r>
          </w:p>
        </w:tc>
        <w:tc>
          <w:tcPr>
            <w:tcW w:w="3559"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rPr>
                <w:rFonts w:eastAsia="Calibri"/>
                <w:color w:val="000000" w:themeColor="text1"/>
                <w:sz w:val="24"/>
                <w:szCs w:val="24"/>
              </w:rPr>
            </w:pPr>
            <w:r w:rsidRPr="002A3A61">
              <w:rPr>
                <w:color w:val="000000" w:themeColor="text1"/>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AE2B65">
        <w:trPr>
          <w:trHeight w:val="70"/>
        </w:trPr>
        <w:tc>
          <w:tcPr>
            <w:tcW w:w="674"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13</w:t>
            </w:r>
          </w:p>
        </w:tc>
        <w:tc>
          <w:tcPr>
            <w:tcW w:w="3559" w:type="dxa"/>
            <w:tcBorders>
              <w:top w:val="single" w:sz="4" w:space="0" w:color="000000"/>
              <w:left w:val="single" w:sz="4" w:space="0" w:color="000000"/>
              <w:bottom w:val="single" w:sz="4" w:space="0" w:color="000000"/>
            </w:tcBorders>
          </w:tcPr>
          <w:p w:rsidR="00AE2B65" w:rsidRPr="00EB1FB7" w:rsidRDefault="00EB1FB7" w:rsidP="003969C3">
            <w:pPr>
              <w:pStyle w:val="normal"/>
              <w:pBdr>
                <w:top w:val="nil"/>
                <w:left w:val="nil"/>
                <w:bottom w:val="nil"/>
                <w:right w:val="nil"/>
                <w:between w:val="nil"/>
              </w:pBdr>
              <w:rPr>
                <w:color w:val="000000" w:themeColor="text1"/>
                <w:sz w:val="24"/>
                <w:szCs w:val="24"/>
              </w:rPr>
            </w:pPr>
            <w:r>
              <w:rPr>
                <w:color w:val="000000" w:themeColor="text1"/>
                <w:sz w:val="24"/>
                <w:szCs w:val="24"/>
                <w:shd w:val="clear" w:color="auto" w:fill="FFFFFF"/>
              </w:rPr>
              <w:t>У</w:t>
            </w:r>
            <w:r w:rsidRPr="00EB1FB7">
              <w:rPr>
                <w:color w:val="000000" w:themeColor="text1"/>
                <w:sz w:val="24"/>
                <w:szCs w:val="24"/>
                <w:shd w:val="clear" w:color="auto" w:fill="FFFFFF"/>
              </w:rPr>
              <w:t xml:space="preserve">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
        </w:tc>
        <w:tc>
          <w:tcPr>
            <w:tcW w:w="2867" w:type="dxa"/>
            <w:tcBorders>
              <w:top w:val="single" w:sz="4" w:space="0" w:color="000000"/>
              <w:left w:val="single" w:sz="4" w:space="0" w:color="000000"/>
              <w:bottom w:val="single" w:sz="4" w:space="0" w:color="000000"/>
            </w:tcBorders>
          </w:tcPr>
          <w:p w:rsidR="00AE2B65" w:rsidRPr="002A3A61" w:rsidRDefault="00075AA7" w:rsidP="002A3A61">
            <w:pPr>
              <w:pStyle w:val="normal"/>
              <w:pBdr>
                <w:top w:val="nil"/>
                <w:left w:val="nil"/>
                <w:bottom w:val="nil"/>
                <w:right w:val="nil"/>
                <w:between w:val="nil"/>
              </w:pBdr>
              <w:rPr>
                <w:color w:val="000000" w:themeColor="text1"/>
                <w:sz w:val="24"/>
                <w:szCs w:val="24"/>
              </w:rPr>
            </w:pPr>
            <w:r w:rsidRPr="002A3A61">
              <w:rPr>
                <w:color w:val="000000" w:themeColor="text1"/>
                <w:sz w:val="24"/>
                <w:szCs w:val="24"/>
              </w:rPr>
              <w:t xml:space="preserve"> Довідка в довільній формі про відсутність зазначених підстав;</w:t>
            </w:r>
          </w:p>
          <w:p w:rsidR="00AE2B65" w:rsidRPr="002A3A61" w:rsidRDefault="00AE2B65" w:rsidP="002A3A61">
            <w:pPr>
              <w:pStyle w:val="normal"/>
              <w:pBdr>
                <w:top w:val="nil"/>
                <w:left w:val="nil"/>
                <w:bottom w:val="nil"/>
                <w:right w:val="nil"/>
                <w:between w:val="nil"/>
              </w:pBdr>
              <w:rPr>
                <w:color w:val="000000" w:themeColor="text1"/>
                <w:sz w:val="24"/>
                <w:szCs w:val="24"/>
              </w:rPr>
            </w:pPr>
          </w:p>
          <w:p w:rsidR="00AE2B65" w:rsidRPr="002A3A61" w:rsidRDefault="003969C3" w:rsidP="002A3A61">
            <w:pPr>
              <w:pStyle w:val="normal"/>
              <w:pBdr>
                <w:top w:val="nil"/>
                <w:left w:val="nil"/>
                <w:bottom w:val="nil"/>
                <w:right w:val="nil"/>
                <w:between w:val="nil"/>
              </w:pBdr>
              <w:rPr>
                <w:color w:val="000000" w:themeColor="text1"/>
                <w:sz w:val="24"/>
                <w:szCs w:val="24"/>
              </w:rPr>
            </w:pPr>
            <w:r>
              <w:rPr>
                <w:color w:val="000000" w:themeColor="text1"/>
                <w:sz w:val="24"/>
                <w:szCs w:val="24"/>
                <w:shd w:val="clear" w:color="auto" w:fill="FFFFFF"/>
              </w:rPr>
              <w:t>У</w:t>
            </w:r>
            <w:r w:rsidRPr="00EB1FB7">
              <w:rPr>
                <w:color w:val="000000" w:themeColor="text1"/>
                <w:sz w:val="24"/>
                <w:szCs w:val="24"/>
                <w:shd w:val="clear" w:color="auto" w:fill="FFFFFF"/>
              </w:rPr>
              <w:t xml:space="preserve">часник процедури закупівлі може надати підтвердження вжиття заходів для доведення своєї надійності, незважаючи на наявність відповідної підстави для </w:t>
            </w:r>
            <w:r w:rsidRPr="00EB1FB7">
              <w:rPr>
                <w:color w:val="000000" w:themeColor="text1"/>
                <w:sz w:val="24"/>
                <w:szCs w:val="24"/>
                <w:shd w:val="clear" w:color="auto" w:fill="FFFFFF"/>
              </w:rPr>
              <w:lastRenderedPageBreak/>
              <w:t>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c>
          <w:tcPr>
            <w:tcW w:w="2480" w:type="dxa"/>
            <w:tcBorders>
              <w:top w:val="single" w:sz="4" w:space="0" w:color="000000"/>
              <w:left w:val="single" w:sz="4" w:space="0" w:color="000000"/>
              <w:bottom w:val="single" w:sz="4" w:space="0" w:color="000000"/>
              <w:right w:val="single" w:sz="4" w:space="0" w:color="000000"/>
            </w:tcBorders>
          </w:tcPr>
          <w:p w:rsidR="00AE2B65" w:rsidRPr="002A3A61" w:rsidRDefault="00075AA7" w:rsidP="002A3A61">
            <w:pPr>
              <w:pStyle w:val="normal"/>
              <w:pBdr>
                <w:top w:val="nil"/>
                <w:left w:val="nil"/>
                <w:bottom w:val="nil"/>
                <w:right w:val="nil"/>
                <w:between w:val="nil"/>
              </w:pBdr>
              <w:spacing w:after="200"/>
              <w:rPr>
                <w:color w:val="000000" w:themeColor="text1"/>
                <w:sz w:val="24"/>
                <w:szCs w:val="24"/>
              </w:rPr>
            </w:pPr>
            <w:r w:rsidRPr="002A3A61">
              <w:rPr>
                <w:color w:val="000000" w:themeColor="text1"/>
                <w:sz w:val="24"/>
                <w:szCs w:val="24"/>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w:t>
            </w:r>
            <w:r w:rsidRPr="002A3A61">
              <w:rPr>
                <w:color w:val="000000" w:themeColor="text1"/>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2B65" w:rsidRPr="002A3A61" w:rsidRDefault="00AE2B65" w:rsidP="002A3A61">
            <w:pPr>
              <w:pStyle w:val="normal"/>
              <w:pBdr>
                <w:top w:val="nil"/>
                <w:left w:val="nil"/>
                <w:bottom w:val="nil"/>
                <w:right w:val="nil"/>
                <w:between w:val="nil"/>
              </w:pBdr>
              <w:spacing w:after="200"/>
              <w:rPr>
                <w:color w:val="000000" w:themeColor="text1"/>
                <w:sz w:val="24"/>
                <w:szCs w:val="24"/>
              </w:rPr>
            </w:pPr>
          </w:p>
          <w:p w:rsidR="00AE2B65" w:rsidRPr="002A3A61" w:rsidRDefault="00075AA7" w:rsidP="003969C3">
            <w:pPr>
              <w:pStyle w:val="normal"/>
              <w:widowControl w:val="0"/>
              <w:pBdr>
                <w:top w:val="nil"/>
                <w:left w:val="nil"/>
                <w:bottom w:val="nil"/>
                <w:right w:val="nil"/>
                <w:between w:val="nil"/>
              </w:pBdr>
              <w:spacing w:before="120"/>
              <w:rPr>
                <w:rFonts w:eastAsia="Antiqua"/>
                <w:color w:val="000000" w:themeColor="text1"/>
                <w:sz w:val="24"/>
                <w:szCs w:val="24"/>
              </w:rPr>
            </w:pPr>
            <w:r w:rsidRPr="002A3A61">
              <w:rPr>
                <w:color w:val="000000" w:themeColor="text1"/>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AE2B65" w:rsidRDefault="00AE2B65">
      <w:pPr>
        <w:pStyle w:val="normal"/>
        <w:pBdr>
          <w:top w:val="nil"/>
          <w:left w:val="nil"/>
          <w:bottom w:val="nil"/>
          <w:right w:val="nil"/>
          <w:between w:val="nil"/>
        </w:pBdr>
        <w:spacing w:after="200" w:line="276" w:lineRule="auto"/>
        <w:rPr>
          <w:rFonts w:ascii="Calibri" w:eastAsia="Calibri" w:hAnsi="Calibri" w:cs="Calibri"/>
          <w:color w:val="000000"/>
          <w:sz w:val="22"/>
          <w:szCs w:val="22"/>
        </w:rPr>
      </w:pPr>
    </w:p>
    <w:sectPr w:rsidR="00AE2B65" w:rsidSect="00AE2B65">
      <w:pgSz w:w="11906" w:h="16838"/>
      <w:pgMar w:top="1134" w:right="850"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E2B65"/>
    <w:rsid w:val="00075AA7"/>
    <w:rsid w:val="001A500A"/>
    <w:rsid w:val="002A3A61"/>
    <w:rsid w:val="003969C3"/>
    <w:rsid w:val="00632E9E"/>
    <w:rsid w:val="00692572"/>
    <w:rsid w:val="00AE2B65"/>
    <w:rsid w:val="00EB1F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72"/>
  </w:style>
  <w:style w:type="paragraph" w:styleId="1">
    <w:name w:val="heading 1"/>
    <w:basedOn w:val="normal"/>
    <w:next w:val="normal"/>
    <w:rsid w:val="00AE2B65"/>
    <w:pPr>
      <w:keepNext/>
      <w:keepLines/>
      <w:spacing w:before="480" w:after="120"/>
      <w:outlineLvl w:val="0"/>
    </w:pPr>
    <w:rPr>
      <w:b/>
      <w:sz w:val="48"/>
      <w:szCs w:val="48"/>
    </w:rPr>
  </w:style>
  <w:style w:type="paragraph" w:styleId="2">
    <w:name w:val="heading 2"/>
    <w:basedOn w:val="normal"/>
    <w:next w:val="normal"/>
    <w:rsid w:val="00AE2B65"/>
    <w:pPr>
      <w:keepNext/>
      <w:keepLines/>
      <w:spacing w:before="360" w:after="80"/>
      <w:outlineLvl w:val="1"/>
    </w:pPr>
    <w:rPr>
      <w:b/>
      <w:sz w:val="36"/>
      <w:szCs w:val="36"/>
    </w:rPr>
  </w:style>
  <w:style w:type="paragraph" w:styleId="3">
    <w:name w:val="heading 3"/>
    <w:basedOn w:val="normal"/>
    <w:next w:val="normal"/>
    <w:rsid w:val="00AE2B65"/>
    <w:pPr>
      <w:keepNext/>
      <w:keepLines/>
      <w:spacing w:before="280" w:after="80"/>
      <w:outlineLvl w:val="2"/>
    </w:pPr>
    <w:rPr>
      <w:b/>
      <w:sz w:val="28"/>
      <w:szCs w:val="28"/>
    </w:rPr>
  </w:style>
  <w:style w:type="paragraph" w:styleId="4">
    <w:name w:val="heading 4"/>
    <w:basedOn w:val="normal"/>
    <w:next w:val="normal"/>
    <w:rsid w:val="00AE2B65"/>
    <w:pPr>
      <w:keepNext/>
      <w:keepLines/>
      <w:spacing w:before="240" w:after="40"/>
      <w:outlineLvl w:val="3"/>
    </w:pPr>
    <w:rPr>
      <w:b/>
      <w:sz w:val="24"/>
      <w:szCs w:val="24"/>
    </w:rPr>
  </w:style>
  <w:style w:type="paragraph" w:styleId="5">
    <w:name w:val="heading 5"/>
    <w:basedOn w:val="normal"/>
    <w:next w:val="normal"/>
    <w:rsid w:val="00AE2B65"/>
    <w:pPr>
      <w:keepNext/>
      <w:keepLines/>
      <w:spacing w:before="220" w:after="40"/>
      <w:outlineLvl w:val="4"/>
    </w:pPr>
    <w:rPr>
      <w:b/>
      <w:sz w:val="22"/>
      <w:szCs w:val="22"/>
    </w:rPr>
  </w:style>
  <w:style w:type="paragraph" w:styleId="6">
    <w:name w:val="heading 6"/>
    <w:basedOn w:val="normal"/>
    <w:next w:val="normal"/>
    <w:rsid w:val="00AE2B6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E2B65"/>
  </w:style>
  <w:style w:type="table" w:customStyle="1" w:styleId="TableNormal">
    <w:name w:val="Table Normal"/>
    <w:rsid w:val="00AE2B65"/>
    <w:tblPr>
      <w:tblCellMar>
        <w:top w:w="0" w:type="dxa"/>
        <w:left w:w="0" w:type="dxa"/>
        <w:bottom w:w="0" w:type="dxa"/>
        <w:right w:w="0" w:type="dxa"/>
      </w:tblCellMar>
    </w:tblPr>
  </w:style>
  <w:style w:type="paragraph" w:styleId="a3">
    <w:name w:val="Title"/>
    <w:basedOn w:val="normal"/>
    <w:next w:val="normal"/>
    <w:rsid w:val="00AE2B65"/>
    <w:pPr>
      <w:keepNext/>
      <w:keepLines/>
      <w:spacing w:before="480" w:after="120"/>
    </w:pPr>
    <w:rPr>
      <w:b/>
      <w:sz w:val="72"/>
      <w:szCs w:val="72"/>
    </w:rPr>
  </w:style>
  <w:style w:type="paragraph" w:styleId="a4">
    <w:name w:val="Subtitle"/>
    <w:basedOn w:val="normal"/>
    <w:next w:val="normal"/>
    <w:rsid w:val="00AE2B65"/>
    <w:pPr>
      <w:keepNext/>
      <w:keepLines/>
      <w:spacing w:before="360" w:after="80"/>
    </w:pPr>
    <w:rPr>
      <w:rFonts w:ascii="Georgia" w:eastAsia="Georgia" w:hAnsi="Georgia" w:cs="Georgia"/>
      <w:i/>
      <w:color w:val="666666"/>
      <w:sz w:val="48"/>
      <w:szCs w:val="48"/>
    </w:rPr>
  </w:style>
  <w:style w:type="table" w:customStyle="1" w:styleId="a5">
    <w:basedOn w:val="TableNormal"/>
    <w:rsid w:val="00AE2B65"/>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WirmN32po0uBsqC6+AXDX/Qwbg==">CgMxLjA4AHIhMWMwYTgzcGxDSkkwRjlYcG9SbTQ0TEYycS1FS1ZNRWJK</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AF0D81-DEA0-48FF-81A0-63E216E9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6961</Words>
  <Characters>3969</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2024-04-10T06:05:00Z</dcterms:created>
  <dcterms:modified xsi:type="dcterms:W3CDTF">2024-04-11T10:43:00Z</dcterms:modified>
</cp:coreProperties>
</file>