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6C" w:rsidRDefault="00F2456C">
      <w:pPr>
        <w:spacing w:after="0" w:line="240" w:lineRule="auto"/>
        <w:ind w:left="5660" w:firstLine="700"/>
        <w:jc w:val="right"/>
        <w:rPr>
          <w:rFonts w:ascii="Times New Roman" w:eastAsia="Times New Roman" w:hAnsi="Times New Roman" w:cs="Times New Roman"/>
          <w:b/>
          <w:sz w:val="20"/>
          <w:szCs w:val="20"/>
        </w:rPr>
      </w:pPr>
    </w:p>
    <w:p w:rsidR="00F2456C" w:rsidRPr="0093154D" w:rsidRDefault="00364B2A">
      <w:pPr>
        <w:spacing w:after="0" w:line="240" w:lineRule="auto"/>
        <w:ind w:left="5660" w:firstLine="700"/>
        <w:jc w:val="right"/>
        <w:rPr>
          <w:rFonts w:ascii="Times New Roman" w:eastAsia="Times New Roman" w:hAnsi="Times New Roman" w:cs="Times New Roman"/>
          <w:sz w:val="20"/>
          <w:szCs w:val="20"/>
        </w:rPr>
      </w:pPr>
      <w:r w:rsidRPr="0093154D">
        <w:rPr>
          <w:rFonts w:ascii="Times New Roman" w:eastAsia="Times New Roman" w:hAnsi="Times New Roman" w:cs="Times New Roman"/>
          <w:b/>
          <w:color w:val="000000"/>
          <w:sz w:val="20"/>
          <w:szCs w:val="20"/>
        </w:rPr>
        <w:t>ДОДАТОК 1</w:t>
      </w:r>
    </w:p>
    <w:p w:rsidR="00F2456C" w:rsidRPr="0093154D" w:rsidRDefault="00364B2A">
      <w:pPr>
        <w:spacing w:after="0" w:line="240" w:lineRule="auto"/>
        <w:ind w:left="5660" w:firstLine="700"/>
        <w:jc w:val="right"/>
        <w:rPr>
          <w:rFonts w:ascii="Times New Roman" w:eastAsia="Times New Roman" w:hAnsi="Times New Roman" w:cs="Times New Roman"/>
          <w:sz w:val="20"/>
          <w:szCs w:val="20"/>
        </w:rPr>
      </w:pPr>
      <w:r w:rsidRPr="0093154D">
        <w:rPr>
          <w:rFonts w:ascii="Times New Roman" w:eastAsia="Times New Roman" w:hAnsi="Times New Roman" w:cs="Times New Roman"/>
          <w:i/>
          <w:color w:val="000000"/>
          <w:sz w:val="20"/>
          <w:szCs w:val="20"/>
        </w:rPr>
        <w:t>до тендерної</w:t>
      </w:r>
      <w:r w:rsidR="00DE37FB">
        <w:rPr>
          <w:rFonts w:ascii="Times New Roman" w:eastAsia="Times New Roman" w:hAnsi="Times New Roman" w:cs="Times New Roman"/>
          <w:i/>
          <w:color w:val="000000"/>
          <w:sz w:val="20"/>
          <w:szCs w:val="20"/>
          <w:lang w:val="uk-UA"/>
        </w:rPr>
        <w:t xml:space="preserve"> </w:t>
      </w:r>
      <w:r w:rsidRPr="0093154D">
        <w:rPr>
          <w:rFonts w:ascii="Times New Roman" w:eastAsia="Times New Roman" w:hAnsi="Times New Roman" w:cs="Times New Roman"/>
          <w:i/>
          <w:color w:val="000000"/>
          <w:sz w:val="20"/>
          <w:szCs w:val="20"/>
        </w:rPr>
        <w:t>документації</w:t>
      </w:r>
    </w:p>
    <w:p w:rsidR="00F2456C" w:rsidRPr="0093154D" w:rsidRDefault="00364B2A">
      <w:pPr>
        <w:spacing w:after="0" w:line="240" w:lineRule="auto"/>
        <w:ind w:left="5660" w:firstLine="700"/>
        <w:jc w:val="both"/>
        <w:rPr>
          <w:rFonts w:ascii="Times New Roman" w:eastAsia="Times New Roman" w:hAnsi="Times New Roman" w:cs="Times New Roman"/>
          <w:sz w:val="20"/>
          <w:szCs w:val="20"/>
        </w:rPr>
      </w:pPr>
      <w:r w:rsidRPr="0093154D">
        <w:rPr>
          <w:rFonts w:ascii="Times New Roman" w:eastAsia="Times New Roman" w:hAnsi="Times New Roman" w:cs="Times New Roman"/>
          <w:i/>
          <w:color w:val="000000"/>
          <w:sz w:val="20"/>
          <w:szCs w:val="20"/>
        </w:rPr>
        <w:t> </w:t>
      </w:r>
    </w:p>
    <w:p w:rsidR="00F2456C" w:rsidRPr="0093154D"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3154D">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93154D">
        <w:rPr>
          <w:rFonts w:ascii="Times New Roman" w:eastAsia="Times New Roman" w:hAnsi="Times New Roman" w:cs="Times New Roman"/>
          <w:b/>
          <w:sz w:val="24"/>
          <w:szCs w:val="24"/>
          <w:lang w:val="uk-UA"/>
        </w:rPr>
        <w:t>«</w:t>
      </w:r>
      <w:r w:rsidRPr="0093154D">
        <w:rPr>
          <w:rFonts w:ascii="Times New Roman" w:eastAsia="Times New Roman" w:hAnsi="Times New Roman" w:cs="Times New Roman"/>
          <w:b/>
          <w:color w:val="000000"/>
          <w:sz w:val="24"/>
          <w:szCs w:val="24"/>
          <w:lang w:val="uk-UA"/>
        </w:rPr>
        <w:t>Про публічні закупівлі</w:t>
      </w:r>
      <w:r w:rsidRPr="0093154D">
        <w:rPr>
          <w:rFonts w:ascii="Times New Roman" w:eastAsia="Times New Roman" w:hAnsi="Times New Roman" w:cs="Times New Roman"/>
          <w:b/>
          <w:sz w:val="24"/>
          <w:szCs w:val="24"/>
          <w:lang w:val="uk-UA"/>
        </w:rPr>
        <w:t>»</w:t>
      </w:r>
      <w:r w:rsidRPr="0093154D">
        <w:rPr>
          <w:rFonts w:ascii="Times New Roman" w:eastAsia="Times New Roman" w:hAnsi="Times New Roman" w:cs="Times New Roman"/>
          <w:b/>
          <w:color w:val="000000"/>
          <w:sz w:val="24"/>
          <w:szCs w:val="24"/>
          <w:lang w:val="uk-UA"/>
        </w:rPr>
        <w:t>:</w:t>
      </w:r>
    </w:p>
    <w:p w:rsidR="00F2456C" w:rsidRPr="0093154D"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tblPr>
      <w:tblGrid>
        <w:gridCol w:w="490"/>
        <w:gridCol w:w="2273"/>
        <w:gridCol w:w="6856"/>
      </w:tblGrid>
      <w:tr w:rsidR="00CF2A83" w:rsidRPr="0093154D"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93154D" w:rsidRDefault="00CF2A83" w:rsidP="00CF2A83">
            <w:pPr>
              <w:spacing w:before="240" w:after="0" w:line="240" w:lineRule="auto"/>
              <w:jc w:val="center"/>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93154D" w:rsidRDefault="00CF2A83" w:rsidP="00CF2A83">
            <w:pPr>
              <w:spacing w:before="240" w:after="0" w:line="240" w:lineRule="auto"/>
              <w:jc w:val="center"/>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93154D" w:rsidRDefault="00CF2A83" w:rsidP="00CF2A83">
            <w:pPr>
              <w:spacing w:before="240" w:after="0" w:line="240" w:lineRule="auto"/>
              <w:jc w:val="center"/>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 xml:space="preserve">Документи та </w:t>
            </w:r>
            <w:r w:rsidRPr="0093154D">
              <w:rPr>
                <w:rFonts w:ascii="Times New Roman" w:eastAsia="Times New Roman" w:hAnsi="Times New Roman" w:cs="Times New Roman"/>
                <w:b/>
                <w:sz w:val="24"/>
                <w:szCs w:val="24"/>
                <w:lang w:val="uk-UA"/>
              </w:rPr>
              <w:t xml:space="preserve">інформація, які </w:t>
            </w:r>
            <w:r w:rsidRPr="0093154D">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93154D"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93154D" w:rsidRDefault="00CF2A83" w:rsidP="00CF2A83">
            <w:pPr>
              <w:spacing w:after="0" w:line="240" w:lineRule="auto"/>
              <w:jc w:val="center"/>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93154D" w:rsidRDefault="00CF2A83" w:rsidP="00CF2A83">
            <w:pPr>
              <w:spacing w:after="0" w:line="240" w:lineRule="auto"/>
              <w:jc w:val="both"/>
              <w:rPr>
                <w:rFonts w:ascii="Times New Roman" w:eastAsia="Times New Roman" w:hAnsi="Times New Roman" w:cs="Times New Roman"/>
                <w:sz w:val="20"/>
                <w:szCs w:val="20"/>
                <w:lang w:val="uk-UA"/>
              </w:rPr>
            </w:pPr>
            <w:r w:rsidRPr="0093154D">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298" w:rsidRPr="0093154D" w:rsidRDefault="00DE6298" w:rsidP="00DE6298">
            <w:pPr>
              <w:spacing w:after="0" w:line="240" w:lineRule="auto"/>
              <w:jc w:val="both"/>
              <w:rPr>
                <w:rFonts w:ascii="Times New Roman" w:hAnsi="Times New Roman" w:cs="Times New Roman"/>
                <w:sz w:val="24"/>
                <w:szCs w:val="24"/>
                <w:lang w:val="uk-UA" w:eastAsia="ru-RU"/>
              </w:rPr>
            </w:pPr>
            <w:r w:rsidRPr="0093154D">
              <w:rPr>
                <w:rFonts w:ascii="Times New Roman" w:hAnsi="Times New Roman" w:cs="Times New Roman"/>
                <w:sz w:val="24"/>
                <w:szCs w:val="24"/>
                <w:lang w:val="uk-UA" w:eastAsia="ru-RU"/>
              </w:rPr>
              <w:t>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Аналогічним вважається договір за яким здійснювалось постачання електричної енергії споживачу, код ДК 021:2015 «Єдиний закупівельний словник» 09310000-5 Електрична енергія.</w:t>
            </w:r>
          </w:p>
          <w:p w:rsidR="00CF2A83" w:rsidRPr="0093154D" w:rsidRDefault="00CF2A83" w:rsidP="00CF2A83">
            <w:pPr>
              <w:spacing w:after="0" w:line="240" w:lineRule="auto"/>
              <w:jc w:val="both"/>
              <w:rPr>
                <w:rFonts w:ascii="Times New Roman" w:hAnsi="Times New Roman" w:cs="Times New Roman"/>
                <w:sz w:val="24"/>
                <w:szCs w:val="24"/>
                <w:lang w:val="uk-UA" w:eastAsia="ru-RU"/>
              </w:rPr>
            </w:pPr>
            <w:r w:rsidRPr="0093154D">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rsidR="00CF2A83" w:rsidRPr="0093154D" w:rsidRDefault="00CF2A83" w:rsidP="00CF2A83">
            <w:pPr>
              <w:spacing w:after="0" w:line="240" w:lineRule="auto"/>
              <w:jc w:val="both"/>
              <w:rPr>
                <w:rFonts w:ascii="Times New Roman" w:hAnsi="Times New Roman" w:cs="Times New Roman"/>
                <w:sz w:val="24"/>
                <w:szCs w:val="24"/>
                <w:lang w:val="uk-UA" w:eastAsia="ru-RU"/>
              </w:rPr>
            </w:pPr>
            <w:r w:rsidRPr="0093154D">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CF2A83" w:rsidRPr="0093154D" w:rsidRDefault="00CF2A83" w:rsidP="00CF2A83">
            <w:pPr>
              <w:spacing w:after="0" w:line="240" w:lineRule="auto"/>
              <w:jc w:val="both"/>
              <w:rPr>
                <w:rFonts w:ascii="Times New Roman" w:hAnsi="Times New Roman" w:cs="Times New Roman"/>
                <w:sz w:val="24"/>
                <w:szCs w:val="24"/>
                <w:lang w:val="uk-UA" w:eastAsia="ru-RU"/>
              </w:rPr>
            </w:pPr>
            <w:r w:rsidRPr="0093154D">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CF2A83" w:rsidRPr="0093154D" w:rsidRDefault="00CF2A83" w:rsidP="00CF2A83">
            <w:pPr>
              <w:spacing w:after="0" w:line="240" w:lineRule="auto"/>
              <w:jc w:val="both"/>
              <w:rPr>
                <w:rFonts w:ascii="Times New Roman" w:hAnsi="Times New Roman" w:cs="Times New Roman"/>
                <w:sz w:val="24"/>
                <w:szCs w:val="24"/>
                <w:lang w:val="uk-UA" w:eastAsia="ru-RU"/>
              </w:rPr>
            </w:pPr>
            <w:r w:rsidRPr="0093154D">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CF2A83" w:rsidRPr="0093154D" w:rsidRDefault="00CF2A83" w:rsidP="00AD3C24">
            <w:pPr>
              <w:spacing w:after="0" w:line="240" w:lineRule="auto"/>
              <w:jc w:val="both"/>
              <w:rPr>
                <w:rFonts w:ascii="Times New Roman" w:eastAsia="Times New Roman" w:hAnsi="Times New Roman" w:cs="Times New Roman"/>
                <w:sz w:val="20"/>
                <w:szCs w:val="20"/>
                <w:lang w:val="uk-UA"/>
              </w:rPr>
            </w:pPr>
            <w:r w:rsidRPr="0093154D">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93154D"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FEF" w:rsidRPr="0093154D" w:rsidRDefault="00197FEF" w:rsidP="00197FEF">
            <w:pPr>
              <w:spacing w:after="0" w:line="240" w:lineRule="auto"/>
              <w:jc w:val="center"/>
              <w:rPr>
                <w:rFonts w:ascii="Times New Roman" w:eastAsia="Times New Roman" w:hAnsi="Times New Roman" w:cs="Times New Roman"/>
                <w:b/>
                <w:color w:val="000000"/>
                <w:sz w:val="20"/>
                <w:szCs w:val="20"/>
                <w:lang w:val="en-US"/>
              </w:rPr>
            </w:pPr>
            <w:r w:rsidRPr="0093154D">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FEF" w:rsidRPr="0093154D" w:rsidRDefault="00197FEF" w:rsidP="00197FEF">
            <w:pPr>
              <w:spacing w:after="0" w:line="240" w:lineRule="auto"/>
              <w:rPr>
                <w:rFonts w:ascii="Times New Roman" w:eastAsia="Times New Roman" w:hAnsi="Times New Roman" w:cs="Times New Roman"/>
                <w:b/>
                <w:bCs/>
                <w:sz w:val="24"/>
                <w:szCs w:val="24"/>
                <w:lang w:val="uk-UA" w:eastAsia="ru-RU"/>
              </w:rPr>
            </w:pPr>
            <w:r w:rsidRPr="0093154D">
              <w:rPr>
                <w:rFonts w:ascii="Times New Roman" w:eastAsia="Times New Roman" w:hAnsi="Times New Roman" w:cs="Times New Roman"/>
                <w:b/>
                <w:bCs/>
                <w:sz w:val="24"/>
                <w:szCs w:val="24"/>
                <w:lang w:val="uk-UA" w:eastAsia="ru-RU"/>
              </w:rPr>
              <w:t>Наявність фінансової спроможності</w:t>
            </w:r>
          </w:p>
          <w:p w:rsidR="00197FEF" w:rsidRPr="0093154D"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FEF" w:rsidRPr="0093154D"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93154D">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останній звітній рік. </w:t>
            </w:r>
          </w:p>
          <w:p w:rsidR="00197FEF" w:rsidRPr="0093154D" w:rsidRDefault="00197FEF" w:rsidP="00197FEF">
            <w:pPr>
              <w:jc w:val="both"/>
              <w:rPr>
                <w:rFonts w:ascii="Times New Roman" w:eastAsia="Arial" w:hAnsi="Times New Roman" w:cs="Times New Roman"/>
                <w:b/>
                <w:sz w:val="24"/>
                <w:szCs w:val="24"/>
                <w:lang w:val="uk-UA"/>
              </w:rPr>
            </w:pPr>
            <w:r w:rsidRPr="0093154D">
              <w:rPr>
                <w:rFonts w:ascii="Times New Roman" w:eastAsia="Arial" w:hAnsi="Times New Roman" w:cs="Times New Roman"/>
                <w:sz w:val="24"/>
                <w:szCs w:val="24"/>
                <w:lang w:val="uk-UA"/>
              </w:rPr>
              <w:t xml:space="preserve">Учасник надає документи фінансової звітності (баланс, звіт про фінансові результати) за останній звітній рік, які підтверджують, що обсяг річного доходу (виручки) учасника </w:t>
            </w:r>
            <w:r w:rsidRPr="0093154D">
              <w:rPr>
                <w:rFonts w:ascii="Times New Roman" w:eastAsia="Arial" w:hAnsi="Times New Roman" w:cs="Times New Roman"/>
                <w:sz w:val="24"/>
                <w:szCs w:val="24"/>
                <w:lang w:val="uk-UA"/>
              </w:rPr>
              <w:lastRenderedPageBreak/>
              <w:t>закупівлі за відповідний період не є меншим ніж</w:t>
            </w:r>
            <w:r w:rsidR="00C147EA" w:rsidRPr="0093154D">
              <w:rPr>
                <w:rFonts w:ascii="Times New Roman" w:eastAsia="Arial" w:hAnsi="Times New Roman" w:cs="Times New Roman"/>
                <w:b/>
                <w:sz w:val="24"/>
                <w:szCs w:val="24"/>
                <w:lang w:val="uk-UA"/>
              </w:rPr>
              <w:t xml:space="preserve">: </w:t>
            </w:r>
            <w:r w:rsidRPr="0093154D">
              <w:rPr>
                <w:rFonts w:ascii="Times New Roman" w:eastAsia="Arial" w:hAnsi="Times New Roman" w:cs="Times New Roman"/>
                <w:b/>
                <w:sz w:val="24"/>
                <w:szCs w:val="24"/>
                <w:lang w:val="uk-UA"/>
              </w:rPr>
              <w:t xml:space="preserve">  </w:t>
            </w:r>
            <w:r w:rsidR="00035B82" w:rsidRPr="0093154D">
              <w:rPr>
                <w:rFonts w:ascii="Times New Roman" w:hAnsi="Times New Roman" w:cs="Times New Roman"/>
                <w:b/>
                <w:color w:val="000000"/>
                <w:sz w:val="24"/>
                <w:szCs w:val="24"/>
                <w:shd w:val="clear" w:color="auto" w:fill="FFFFFF"/>
                <w:lang w:val="uk-UA"/>
              </w:rPr>
              <w:t>4 920</w:t>
            </w:r>
            <w:r w:rsidR="007433EA" w:rsidRPr="0093154D">
              <w:rPr>
                <w:rFonts w:ascii="Times New Roman" w:hAnsi="Times New Roman" w:cs="Times New Roman"/>
                <w:b/>
                <w:color w:val="000000"/>
                <w:sz w:val="24"/>
                <w:szCs w:val="24"/>
                <w:shd w:val="clear" w:color="auto" w:fill="FFFFFF"/>
                <w:lang w:val="uk-UA"/>
              </w:rPr>
              <w:t xml:space="preserve"> </w:t>
            </w:r>
            <w:r w:rsidR="00035B82" w:rsidRPr="0093154D">
              <w:rPr>
                <w:rFonts w:ascii="Times New Roman" w:hAnsi="Times New Roman" w:cs="Times New Roman"/>
                <w:b/>
                <w:color w:val="000000"/>
                <w:sz w:val="24"/>
                <w:szCs w:val="24"/>
                <w:shd w:val="clear" w:color="auto" w:fill="FFFFFF"/>
                <w:lang w:val="uk-UA"/>
              </w:rPr>
              <w:t>0</w:t>
            </w:r>
            <w:r w:rsidR="007433EA" w:rsidRPr="0093154D">
              <w:rPr>
                <w:rFonts w:ascii="Times New Roman" w:hAnsi="Times New Roman" w:cs="Times New Roman"/>
                <w:b/>
                <w:color w:val="000000"/>
                <w:sz w:val="24"/>
                <w:szCs w:val="24"/>
                <w:shd w:val="clear" w:color="auto" w:fill="FFFFFF"/>
                <w:lang w:val="uk-UA"/>
              </w:rPr>
              <w:t>00</w:t>
            </w:r>
            <w:r w:rsidR="00C147EA" w:rsidRPr="0093154D">
              <w:rPr>
                <w:rFonts w:ascii="Times New Roman" w:hAnsi="Times New Roman" w:cs="Times New Roman"/>
                <w:b/>
                <w:color w:val="333333"/>
                <w:sz w:val="24"/>
                <w:szCs w:val="24"/>
                <w:shd w:val="clear" w:color="auto" w:fill="FFFFFF"/>
                <w:lang w:val="uk-UA"/>
              </w:rPr>
              <w:t xml:space="preserve"> грн.</w:t>
            </w:r>
          </w:p>
          <w:p w:rsidR="00197FEF" w:rsidRPr="0093154D"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rPr>
            </w:pPr>
            <w:r w:rsidRPr="0093154D">
              <w:rPr>
                <w:rFonts w:ascii="Times New Roman" w:eastAsia="Arial" w:hAnsi="Times New Roman" w:cs="Times New Roman"/>
                <w:sz w:val="24"/>
                <w:szCs w:val="24"/>
                <w:lang w:val="uk-UA"/>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rsidR="00197FEF" w:rsidRPr="0093154D" w:rsidRDefault="00197FEF" w:rsidP="00197FEF">
            <w:pPr>
              <w:spacing w:after="0" w:line="240" w:lineRule="auto"/>
              <w:jc w:val="both"/>
              <w:rPr>
                <w:rFonts w:ascii="Times New Roman" w:hAnsi="Times New Roman" w:cs="Times New Roman"/>
                <w:sz w:val="24"/>
                <w:szCs w:val="24"/>
                <w:lang w:val="uk-UA" w:eastAsia="ru-RU"/>
              </w:rPr>
            </w:pPr>
            <w:r w:rsidRPr="0093154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CF2A83" w:rsidRPr="0093154D"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93154D">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2A83" w:rsidRPr="0093154D" w:rsidRDefault="00CF2A83">
      <w:pPr>
        <w:spacing w:after="0" w:line="240" w:lineRule="auto"/>
        <w:ind w:left="885"/>
        <w:jc w:val="center"/>
        <w:rPr>
          <w:rFonts w:ascii="Times New Roman" w:eastAsia="Times New Roman" w:hAnsi="Times New Roman" w:cs="Times New Roman"/>
          <w:b/>
          <w:i/>
          <w:color w:val="4472C4"/>
          <w:sz w:val="20"/>
          <w:szCs w:val="20"/>
        </w:rPr>
      </w:pPr>
    </w:p>
    <w:p w:rsidR="00F2456C" w:rsidRPr="0093154D"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93154D">
        <w:rPr>
          <w:rFonts w:ascii="Times New Roman" w:eastAsia="Times New Roman" w:hAnsi="Times New Roman" w:cs="Times New Roman"/>
          <w:b/>
          <w:sz w:val="24"/>
          <w:szCs w:val="24"/>
          <w:lang w:val="uk-UA"/>
        </w:rPr>
        <w:t xml:space="preserve">2. </w:t>
      </w:r>
      <w:r w:rsidRPr="0093154D">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93154D">
        <w:rPr>
          <w:rFonts w:ascii="Times New Roman" w:eastAsia="Times New Roman" w:hAnsi="Times New Roman" w:cs="Times New Roman"/>
          <w:b/>
          <w:sz w:val="24"/>
          <w:szCs w:val="24"/>
          <w:lang w:val="uk-UA"/>
        </w:rPr>
        <w:t>«</w:t>
      </w:r>
      <w:r w:rsidRPr="0093154D">
        <w:rPr>
          <w:rFonts w:ascii="Times New Roman" w:eastAsia="Times New Roman" w:hAnsi="Times New Roman" w:cs="Times New Roman"/>
          <w:b/>
          <w:color w:val="000000"/>
          <w:sz w:val="24"/>
          <w:szCs w:val="24"/>
          <w:lang w:val="uk-UA"/>
        </w:rPr>
        <w:t>Про публічні закупівлі</w:t>
      </w:r>
      <w:r w:rsidRPr="0093154D">
        <w:rPr>
          <w:rFonts w:ascii="Times New Roman" w:eastAsia="Times New Roman" w:hAnsi="Times New Roman" w:cs="Times New Roman"/>
          <w:b/>
          <w:sz w:val="24"/>
          <w:szCs w:val="24"/>
          <w:lang w:val="uk-UA"/>
        </w:rPr>
        <w:t>»</w:t>
      </w:r>
      <w:r w:rsidRPr="0093154D">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rsidR="00F2456C" w:rsidRPr="0093154D"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2456C" w:rsidRPr="0093154D"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D3C24" w:rsidRPr="0093154D"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F2456C" w:rsidRPr="0093154D"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93154D">
        <w:rPr>
          <w:rFonts w:ascii="Times New Roman" w:eastAsia="Times New Roman" w:hAnsi="Times New Roman" w:cs="Times New Roman"/>
          <w:b/>
          <w:sz w:val="24"/>
          <w:szCs w:val="24"/>
          <w:lang w:val="uk-UA"/>
        </w:rPr>
        <w:t xml:space="preserve">3. </w:t>
      </w:r>
      <w:r w:rsidRPr="0093154D">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93154D">
        <w:rPr>
          <w:rFonts w:ascii="Times New Roman" w:eastAsia="Times New Roman" w:hAnsi="Times New Roman" w:cs="Times New Roman"/>
          <w:b/>
          <w:sz w:val="24"/>
          <w:szCs w:val="24"/>
          <w:lang w:val="uk-UA"/>
        </w:rPr>
        <w:t>«</w:t>
      </w:r>
      <w:r w:rsidRPr="0093154D">
        <w:rPr>
          <w:rFonts w:ascii="Times New Roman" w:eastAsia="Times New Roman" w:hAnsi="Times New Roman" w:cs="Times New Roman"/>
          <w:b/>
          <w:color w:val="000000"/>
          <w:sz w:val="24"/>
          <w:szCs w:val="24"/>
          <w:lang w:val="uk-UA"/>
        </w:rPr>
        <w:t>Про публічні закупівлі</w:t>
      </w:r>
      <w:r w:rsidRPr="0093154D">
        <w:rPr>
          <w:rFonts w:ascii="Times New Roman" w:eastAsia="Times New Roman" w:hAnsi="Times New Roman" w:cs="Times New Roman"/>
          <w:b/>
          <w:sz w:val="24"/>
          <w:szCs w:val="24"/>
          <w:lang w:val="uk-UA"/>
        </w:rPr>
        <w:t>»</w:t>
      </w:r>
      <w:r w:rsidRPr="0093154D">
        <w:rPr>
          <w:rFonts w:ascii="Times New Roman" w:eastAsia="Times New Roman" w:hAnsi="Times New Roman" w:cs="Times New Roman"/>
          <w:b/>
          <w:color w:val="000000"/>
          <w:sz w:val="24"/>
          <w:szCs w:val="24"/>
          <w:lang w:val="uk-UA"/>
        </w:rPr>
        <w:t xml:space="preserve">  відповідно до вимог Особливостей:</w:t>
      </w:r>
    </w:p>
    <w:p w:rsidR="00F2456C" w:rsidRPr="0093154D" w:rsidRDefault="00364B2A" w:rsidP="00C73AEC">
      <w:pPr>
        <w:spacing w:after="0" w:line="240" w:lineRule="auto"/>
        <w:jc w:val="both"/>
        <w:rPr>
          <w:rFonts w:ascii="Times New Roman" w:eastAsia="Times New Roman" w:hAnsi="Times New Roman" w:cs="Times New Roman"/>
          <w:b/>
          <w:sz w:val="24"/>
          <w:szCs w:val="24"/>
          <w:lang w:val="uk-UA"/>
        </w:rPr>
      </w:pPr>
      <w:r w:rsidRPr="0093154D">
        <w:rPr>
          <w:rFonts w:ascii="Times New Roman" w:eastAsia="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2456C" w:rsidRPr="0093154D" w:rsidRDefault="00364B2A" w:rsidP="00C73AEC">
      <w:pPr>
        <w:spacing w:after="0" w:line="240" w:lineRule="auto"/>
        <w:jc w:val="both"/>
        <w:rPr>
          <w:rFonts w:ascii="Times New Roman" w:eastAsia="Times New Roman" w:hAnsi="Times New Roman" w:cs="Times New Roman"/>
          <w:color w:val="000000"/>
          <w:sz w:val="24"/>
          <w:szCs w:val="24"/>
          <w:lang w:val="uk-UA"/>
        </w:rPr>
      </w:pPr>
      <w:r w:rsidRPr="0093154D">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D479B" w:rsidRPr="0093154D" w:rsidRDefault="00364B2A" w:rsidP="00C73AEC">
      <w:pPr>
        <w:spacing w:after="0" w:line="240" w:lineRule="auto"/>
        <w:rPr>
          <w:rFonts w:ascii="Times New Roman" w:eastAsia="Times New Roman" w:hAnsi="Times New Roman" w:cs="Times New Roman"/>
          <w:color w:val="000000"/>
          <w:sz w:val="24"/>
          <w:szCs w:val="24"/>
          <w:lang w:val="uk-UA"/>
        </w:rPr>
      </w:pPr>
      <w:r w:rsidRPr="0093154D">
        <w:rPr>
          <w:rFonts w:ascii="Times New Roman" w:eastAsia="Times New Roman" w:hAnsi="Times New Roman" w:cs="Times New Roman"/>
          <w:color w:val="000000"/>
          <w:sz w:val="24"/>
          <w:szCs w:val="24"/>
          <w:lang w:val="uk-UA"/>
        </w:rPr>
        <w:t> </w:t>
      </w:r>
    </w:p>
    <w:p w:rsidR="00C147EA" w:rsidRPr="0093154D" w:rsidRDefault="00C147EA" w:rsidP="00C147EA">
      <w:pPr>
        <w:spacing w:after="0" w:line="240" w:lineRule="auto"/>
        <w:rPr>
          <w:rFonts w:ascii="Times New Roman" w:eastAsia="Times New Roman" w:hAnsi="Times New Roman" w:cs="Times New Roman"/>
          <w:b/>
          <w:color w:val="000000"/>
          <w:sz w:val="24"/>
          <w:szCs w:val="24"/>
          <w:lang w:val="uk-UA"/>
        </w:rPr>
      </w:pPr>
      <w:r w:rsidRPr="0093154D">
        <w:rPr>
          <w:rFonts w:ascii="Times New Roman" w:eastAsia="Times New Roman" w:hAnsi="Times New Roman" w:cs="Times New Roman"/>
          <w:color w:val="000000"/>
          <w:sz w:val="24"/>
          <w:szCs w:val="24"/>
          <w:lang w:val="uk-UA"/>
        </w:rPr>
        <w:t> </w:t>
      </w:r>
      <w:r w:rsidRPr="0093154D">
        <w:rPr>
          <w:rFonts w:ascii="Times New Roman" w:eastAsia="Times New Roman" w:hAnsi="Times New Roman" w:cs="Times New Roman"/>
          <w:b/>
          <w:color w:val="000000"/>
          <w:sz w:val="24"/>
          <w:szCs w:val="24"/>
          <w:lang w:val="uk-UA"/>
        </w:rPr>
        <w:t>3.1. Документи, які надаються  ПЕРЕМОЖЦЕМ (юридичною особою):</w:t>
      </w:r>
    </w:p>
    <w:p w:rsidR="00C147EA" w:rsidRPr="0093154D" w:rsidRDefault="00C147EA" w:rsidP="00C147EA">
      <w:pPr>
        <w:spacing w:after="0" w:line="240" w:lineRule="auto"/>
        <w:rPr>
          <w:rFonts w:ascii="Times New Roman" w:eastAsia="Times New Roman" w:hAnsi="Times New Roman" w:cs="Times New Roman"/>
          <w:b/>
          <w:color w:val="000000"/>
          <w:sz w:val="24"/>
          <w:szCs w:val="24"/>
          <w:lang w:val="uk-UA"/>
        </w:rPr>
      </w:pPr>
    </w:p>
    <w:tbl>
      <w:tblPr>
        <w:tblW w:w="10306" w:type="dxa"/>
        <w:tblLayout w:type="fixed"/>
        <w:tblLook w:val="0400"/>
      </w:tblPr>
      <w:tblGrid>
        <w:gridCol w:w="765"/>
        <w:gridCol w:w="4013"/>
        <w:gridCol w:w="5528"/>
      </w:tblGrid>
      <w:tr w:rsidR="00C147EA" w:rsidRPr="0093154D" w:rsidTr="00C147EA">
        <w:trPr>
          <w:trHeight w:val="6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center"/>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w:t>
            </w:r>
          </w:p>
          <w:p w:rsidR="00C147EA" w:rsidRPr="0093154D" w:rsidRDefault="00C147EA" w:rsidP="004967F7">
            <w:pPr>
              <w:spacing w:after="0" w:line="240" w:lineRule="auto"/>
              <w:ind w:left="100"/>
              <w:jc w:val="center"/>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п/п</w:t>
            </w:r>
          </w:p>
        </w:tc>
        <w:tc>
          <w:tcPr>
            <w:tcW w:w="4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both"/>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Вимоги статті 17 Закону</w:t>
            </w:r>
          </w:p>
          <w:p w:rsidR="00C147EA" w:rsidRPr="0093154D" w:rsidRDefault="00C147EA" w:rsidP="004967F7">
            <w:pPr>
              <w:spacing w:after="0" w:line="240" w:lineRule="auto"/>
              <w:ind w:left="100"/>
              <w:jc w:val="both"/>
              <w:rPr>
                <w:rFonts w:ascii="Times New Roman" w:eastAsia="Times New Roman" w:hAnsi="Times New Roman" w:cs="Times New Roman"/>
                <w:sz w:val="20"/>
                <w:szCs w:val="20"/>
                <w:lang w:val="uk-UA"/>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both"/>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147EA" w:rsidRPr="0093154D" w:rsidTr="00C147E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center"/>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1</w:t>
            </w:r>
          </w:p>
        </w:tc>
        <w:tc>
          <w:tcPr>
            <w:tcW w:w="4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93154D">
              <w:rPr>
                <w:rFonts w:ascii="Times New Roman" w:eastAsia="Times New Roman" w:hAnsi="Times New Roman" w:cs="Times New Roman"/>
                <w:color w:val="000000"/>
                <w:sz w:val="24"/>
                <w:szCs w:val="24"/>
                <w:lang w:val="uk-UA"/>
              </w:rPr>
              <w:lastRenderedPageBreak/>
              <w:t>до відповідальності за вчинення корупційного правопорушення або правопорушення, пов’язаного з корупцією.</w:t>
            </w:r>
          </w:p>
          <w:p w:rsidR="00C147EA" w:rsidRPr="0093154D" w:rsidRDefault="00C147EA" w:rsidP="004967F7">
            <w:pPr>
              <w:spacing w:after="0" w:line="240" w:lineRule="auto"/>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(пункт 3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pStyle w:val="rvps2"/>
              <w:shd w:val="clear" w:color="auto" w:fill="FFFFFF"/>
              <w:spacing w:before="0" w:beforeAutospacing="0" w:after="0" w:afterAutospacing="0"/>
              <w:ind w:firstLine="567"/>
              <w:jc w:val="both"/>
              <w:rPr>
                <w:lang w:val="uk-UA"/>
              </w:rPr>
            </w:pPr>
            <w:r w:rsidRPr="0093154D">
              <w:rPr>
                <w:rStyle w:val="rvts44"/>
                <w:rFonts w:eastAsia="Calibri"/>
                <w:lang w:val="uk-UA"/>
              </w:rPr>
              <w:lastRenderedPageBreak/>
              <w:t xml:space="preserve">В силу норми п. 1 ч. 1 ст. 3 </w:t>
            </w:r>
            <w:r w:rsidRPr="0093154D">
              <w:rPr>
                <w:lang w:val="uk-UA"/>
              </w:rPr>
              <w:t xml:space="preserve">від </w:t>
            </w:r>
            <w:r w:rsidRPr="0093154D">
              <w:rPr>
                <w:rStyle w:val="rvts44"/>
                <w:rFonts w:eastAsia="Calibri"/>
                <w:shd w:val="clear" w:color="auto" w:fill="FFFFFF"/>
                <w:lang w:val="uk-UA"/>
              </w:rPr>
              <w:t>13.01.2011 № 2939 «</w:t>
            </w:r>
            <w:r w:rsidRPr="0093154D">
              <w:rPr>
                <w:lang w:val="uk-UA"/>
              </w:rPr>
              <w:t xml:space="preserve">Про доступ до публічної інформації» (далі – Закон № 2939) </w:t>
            </w:r>
            <w:r w:rsidRPr="0093154D">
              <w:rPr>
                <w:rStyle w:val="rvts44"/>
                <w:rFonts w:eastAsia="Calibri"/>
                <w:lang w:val="uk-UA"/>
              </w:rPr>
              <w:t>п</w:t>
            </w:r>
            <w:r w:rsidRPr="0093154D">
              <w:rPr>
                <w:lang w:val="uk-UA"/>
              </w:rPr>
              <w:t>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C147EA" w:rsidRPr="0093154D" w:rsidRDefault="00C147EA" w:rsidP="004967F7">
            <w:pPr>
              <w:pStyle w:val="rvps2"/>
              <w:shd w:val="clear" w:color="auto" w:fill="FFFFFF"/>
              <w:spacing w:before="0" w:beforeAutospacing="0" w:after="0" w:afterAutospacing="0"/>
              <w:ind w:firstLine="567"/>
              <w:jc w:val="both"/>
              <w:rPr>
                <w:lang w:val="uk-UA"/>
              </w:rPr>
            </w:pPr>
            <w:r w:rsidRPr="0093154D">
              <w:rPr>
                <w:rStyle w:val="rvts44"/>
                <w:rFonts w:eastAsia="Calibri"/>
                <w:lang w:val="uk-UA"/>
              </w:rPr>
              <w:t xml:space="preserve">Згідно з пп.2 п. 1 ст. 4 Закону № 2939 </w:t>
            </w:r>
            <w:r w:rsidRPr="0093154D">
              <w:rPr>
                <w:lang w:val="uk-UA"/>
              </w:rPr>
              <w:t xml:space="preserve">доступ </w:t>
            </w:r>
            <w:r w:rsidRPr="0093154D">
              <w:rPr>
                <w:lang w:val="uk-UA"/>
              </w:rPr>
              <w:lastRenderedPageBreak/>
              <w:t>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C147EA" w:rsidRPr="0093154D" w:rsidRDefault="00C147EA" w:rsidP="004967F7">
            <w:pPr>
              <w:pStyle w:val="a4"/>
              <w:shd w:val="clear" w:color="auto" w:fill="FFFFFF"/>
              <w:spacing w:before="0" w:beforeAutospacing="0" w:after="0" w:afterAutospacing="0"/>
              <w:ind w:firstLine="567"/>
              <w:jc w:val="both"/>
            </w:pPr>
            <w:r w:rsidRPr="0093154D">
              <w:rPr>
                <w:rStyle w:val="rvts9"/>
              </w:rPr>
              <w:t xml:space="preserve">Відповідно до ч. </w:t>
            </w:r>
            <w:r w:rsidRPr="0093154D">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C147EA" w:rsidRPr="0093154D" w:rsidRDefault="00C147EA" w:rsidP="004967F7">
            <w:pPr>
              <w:pStyle w:val="a4"/>
              <w:shd w:val="clear" w:color="auto" w:fill="FFFFFF"/>
              <w:spacing w:before="0" w:beforeAutospacing="0" w:after="0" w:afterAutospacing="0"/>
              <w:ind w:firstLine="567"/>
              <w:jc w:val="both"/>
            </w:pPr>
            <w:r w:rsidRPr="0093154D">
              <w:t>З 24.02.2022 відповідно до Закону України «Про правовий режим воєнного стану» в Україні діє режим воєнного стану.</w:t>
            </w:r>
          </w:p>
          <w:p w:rsidR="00C147EA" w:rsidRPr="0093154D" w:rsidRDefault="00C147EA" w:rsidP="004967F7">
            <w:pPr>
              <w:pStyle w:val="rvps2"/>
              <w:shd w:val="clear" w:color="auto" w:fill="FFFFFF"/>
              <w:spacing w:before="0" w:beforeAutospacing="0" w:after="0" w:afterAutospacing="0"/>
              <w:ind w:firstLine="567"/>
              <w:jc w:val="both"/>
              <w:rPr>
                <w:shd w:val="clear" w:color="auto" w:fill="FFFFFF"/>
              </w:rPr>
            </w:pPr>
            <w:r w:rsidRPr="0093154D">
              <w:rPr>
                <w:shd w:val="clear" w:color="auto" w:fill="FFFFFF"/>
              </w:rPr>
              <w:t>Указом Президента України від 24.02.2022 № 64 (далі – Указ № 64), зі змінами,</w:t>
            </w:r>
            <w:r w:rsidRPr="0093154D">
              <w:rPr>
                <w:shd w:val="clear" w:color="auto" w:fill="FFFFFF"/>
                <w:lang w:val="uk-UA"/>
              </w:rPr>
              <w:t xml:space="preserve"> </w:t>
            </w:r>
            <w:r w:rsidRPr="0093154D">
              <w:rPr>
                <w:shd w:val="clear" w:color="auto" w:fill="FFFFFF"/>
              </w:rPr>
              <w:t>введено воєнний стан в Україні.</w:t>
            </w:r>
          </w:p>
          <w:p w:rsidR="00C147EA" w:rsidRPr="0093154D" w:rsidRDefault="00C147EA" w:rsidP="004967F7">
            <w:pPr>
              <w:pStyle w:val="afa"/>
              <w:ind w:firstLine="567"/>
              <w:jc w:val="both"/>
              <w:rPr>
                <w:rFonts w:ascii="Times New Roman" w:hAnsi="Times New Roman"/>
                <w:sz w:val="24"/>
                <w:szCs w:val="24"/>
                <w:shd w:val="clear" w:color="auto" w:fill="FFFFFF"/>
              </w:rPr>
            </w:pPr>
            <w:r w:rsidRPr="0093154D">
              <w:rPr>
                <w:rFonts w:ascii="Times New Roman" w:hAnsi="Times New Roman"/>
                <w:spacing w:val="15"/>
                <w:sz w:val="24"/>
                <w:szCs w:val="24"/>
                <w:shd w:val="clear" w:color="auto" w:fill="FFFFFF"/>
              </w:rPr>
              <w:t>Відповідно до постанови КМУ від 12.03.2022 № 263 «</w:t>
            </w:r>
            <w:r w:rsidRPr="0093154D">
              <w:rPr>
                <w:rFonts w:ascii="Times New Roman" w:hAnsi="Times New Roman"/>
                <w:sz w:val="24"/>
                <w:szCs w:val="24"/>
                <w:shd w:val="clear" w:color="auto" w:fill="FFFFFF"/>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C147EA" w:rsidRPr="0093154D" w:rsidRDefault="00C147EA" w:rsidP="004967F7">
            <w:pPr>
              <w:pStyle w:val="afa"/>
              <w:jc w:val="both"/>
              <w:rPr>
                <w:rFonts w:ascii="Times New Roman" w:hAnsi="Times New Roman"/>
                <w:sz w:val="24"/>
                <w:szCs w:val="24"/>
                <w:shd w:val="clear" w:color="auto" w:fill="FFFFFF"/>
              </w:rPr>
            </w:pPr>
            <w:r w:rsidRPr="0093154D">
              <w:rPr>
                <w:rFonts w:ascii="Times New Roman" w:hAnsi="Times New Roman"/>
                <w:sz w:val="24"/>
                <w:szCs w:val="24"/>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C147EA" w:rsidRPr="0093154D" w:rsidRDefault="00C147EA" w:rsidP="004967F7">
            <w:pPr>
              <w:spacing w:after="0" w:line="240" w:lineRule="auto"/>
              <w:jc w:val="both"/>
              <w:rPr>
                <w:rFonts w:ascii="Times New Roman" w:eastAsia="Times New Roman" w:hAnsi="Times New Roman" w:cs="Times New Roman"/>
                <w:sz w:val="24"/>
                <w:szCs w:val="24"/>
                <w:lang w:val="uk-UA"/>
              </w:rPr>
            </w:pPr>
            <w:r w:rsidRPr="0093154D">
              <w:rPr>
                <w:rFonts w:ascii="Times New Roman" w:hAnsi="Times New Roman" w:cs="Times New Roman"/>
                <w:b/>
                <w:sz w:val="24"/>
                <w:szCs w:val="24"/>
                <w:lang w:val="uk-UA"/>
              </w:rPr>
              <w:t>У зв’язку із вище викладеним та враховуючи запровадження на території України правового режиму воєнного стану, та у зв’язку з обмеженням доступу до публічної інформації, на підтвердження відсутності підстав для відмови в участі у процедурі по даному пункту, учасник-переможець подає -</w:t>
            </w:r>
            <w:r w:rsidRPr="0093154D">
              <w:rPr>
                <w:rFonts w:ascii="Times New Roman" w:eastAsia="Times New Roman" w:hAnsi="Times New Roman" w:cs="Times New Roman"/>
                <w:b/>
                <w:i/>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правопорушенняслужбової (посадової) особи учасника процедури закупівлі, </w:t>
            </w:r>
            <w:r w:rsidRPr="0093154D">
              <w:rPr>
                <w:rFonts w:ascii="Times New Roman" w:eastAsia="Times New Roman" w:hAnsi="Times New Roman" w:cs="Times New Roman"/>
                <w:b/>
                <w:i/>
                <w:color w:val="000000"/>
                <w:sz w:val="24"/>
                <w:szCs w:val="24"/>
                <w:u w:val="single"/>
                <w:lang w:val="uk-UA"/>
              </w:rPr>
              <w:t xml:space="preserve">що видана не </w:t>
            </w:r>
            <w:r w:rsidRPr="0093154D">
              <w:rPr>
                <w:rFonts w:ascii="Times New Roman" w:eastAsia="Times New Roman" w:hAnsi="Times New Roman" w:cs="Times New Roman"/>
                <w:b/>
                <w:i/>
                <w:color w:val="000000"/>
                <w:sz w:val="24"/>
                <w:szCs w:val="24"/>
                <w:u w:val="single"/>
                <w:lang w:val="uk-UA"/>
              </w:rPr>
              <w:lastRenderedPageBreak/>
              <w:t>більше 30-денної давності до моменту її подання.</w:t>
            </w:r>
            <w:r w:rsidRPr="0093154D">
              <w:rPr>
                <w:rFonts w:ascii="Times New Roman" w:eastAsia="Times New Roman" w:hAnsi="Times New Roman" w:cs="Times New Roman"/>
                <w:b/>
                <w:i/>
                <w:color w:val="000000"/>
                <w:sz w:val="24"/>
                <w:szCs w:val="24"/>
                <w:lang w:val="uk-UA"/>
              </w:rPr>
              <w:t xml:space="preserve"> </w:t>
            </w:r>
            <w:r w:rsidRPr="0093154D">
              <w:rPr>
                <w:rFonts w:ascii="Times New Roman" w:eastAsia="Times New Roman" w:hAnsi="Times New Roman" w:cs="Times New Roman"/>
                <w:b/>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147EA" w:rsidRPr="0093154D" w:rsidTr="00C147EA">
        <w:trPr>
          <w:trHeight w:val="2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center"/>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lastRenderedPageBreak/>
              <w:t>2</w:t>
            </w:r>
          </w:p>
        </w:tc>
        <w:tc>
          <w:tcPr>
            <w:tcW w:w="4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right="14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color w:val="333333"/>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3154D">
              <w:rPr>
                <w:rFonts w:ascii="Times New Roman" w:eastAsia="Times New Roman" w:hAnsi="Times New Roman" w:cs="Times New Roman"/>
                <w:b/>
                <w:color w:val="000000"/>
                <w:sz w:val="24"/>
                <w:szCs w:val="24"/>
                <w:lang w:val="uk-UA"/>
              </w:rPr>
              <w:t> (пункт 6 частини 1 статті 17 Закону)</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jc w:val="both"/>
              <w:rPr>
                <w:rFonts w:ascii="Times New Roman" w:eastAsia="Times New Roman" w:hAnsi="Times New Roman" w:cs="Times New Roman"/>
                <w:color w:val="000000"/>
                <w:sz w:val="24"/>
                <w:szCs w:val="24"/>
                <w:lang w:val="uk-UA"/>
              </w:rPr>
            </w:pPr>
            <w:r w:rsidRPr="0093154D">
              <w:rPr>
                <w:rFonts w:ascii="Times New Roman" w:eastAsia="Times New Roman" w:hAnsi="Times New Roman" w:cs="Times New Roman"/>
                <w:b/>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r w:rsidRPr="0093154D">
              <w:rPr>
                <w:rFonts w:ascii="Times New Roman" w:eastAsia="Times New Roman" w:hAnsi="Times New Roman" w:cs="Times New Roman"/>
                <w:color w:val="000000"/>
                <w:sz w:val="24"/>
                <w:szCs w:val="24"/>
                <w:lang w:val="uk-UA"/>
              </w:rPr>
              <w:t>Документ повинен бути не більше 30-денної давнини від дати подання документа. </w:t>
            </w:r>
          </w:p>
          <w:p w:rsidR="00C147EA" w:rsidRPr="0093154D" w:rsidRDefault="00C147EA" w:rsidP="004967F7">
            <w:pPr>
              <w:spacing w:after="0" w:line="240" w:lineRule="auto"/>
              <w:jc w:val="both"/>
              <w:rPr>
                <w:rFonts w:ascii="Times New Roman" w:eastAsia="Times New Roman" w:hAnsi="Times New Roman" w:cs="Times New Roman"/>
                <w:sz w:val="24"/>
                <w:szCs w:val="24"/>
                <w:lang w:val="uk-UA"/>
              </w:rPr>
            </w:pPr>
          </w:p>
          <w:p w:rsidR="00C147EA" w:rsidRPr="0093154D" w:rsidRDefault="00C147EA" w:rsidP="004967F7">
            <w:pPr>
              <w:rPr>
                <w:rFonts w:ascii="Times New Roman" w:eastAsia="Times New Roman" w:hAnsi="Times New Roman" w:cs="Times New Roman"/>
                <w:sz w:val="24"/>
                <w:szCs w:val="24"/>
                <w:lang w:val="uk-UA"/>
              </w:rPr>
            </w:pPr>
          </w:p>
          <w:p w:rsidR="00C147EA" w:rsidRPr="0093154D" w:rsidRDefault="00C147EA" w:rsidP="004967F7">
            <w:pPr>
              <w:rPr>
                <w:rFonts w:ascii="Times New Roman" w:eastAsia="Times New Roman" w:hAnsi="Times New Roman" w:cs="Times New Roman"/>
                <w:sz w:val="24"/>
                <w:szCs w:val="24"/>
                <w:lang w:val="uk-UA"/>
              </w:rPr>
            </w:pPr>
          </w:p>
          <w:p w:rsidR="00C147EA" w:rsidRPr="0093154D" w:rsidRDefault="00C147EA" w:rsidP="004967F7">
            <w:pPr>
              <w:rPr>
                <w:rFonts w:ascii="Times New Roman" w:eastAsia="Times New Roman" w:hAnsi="Times New Roman" w:cs="Times New Roman"/>
                <w:sz w:val="24"/>
                <w:szCs w:val="24"/>
                <w:lang w:val="uk-UA"/>
              </w:rPr>
            </w:pPr>
          </w:p>
          <w:p w:rsidR="00C147EA" w:rsidRPr="0093154D" w:rsidRDefault="00C147EA" w:rsidP="004967F7">
            <w:pPr>
              <w:rPr>
                <w:rFonts w:ascii="Times New Roman" w:eastAsia="Times New Roman" w:hAnsi="Times New Roman" w:cs="Times New Roman"/>
                <w:sz w:val="24"/>
                <w:szCs w:val="24"/>
                <w:lang w:val="uk-UA"/>
              </w:rPr>
            </w:pPr>
          </w:p>
          <w:p w:rsidR="00C147EA" w:rsidRPr="0093154D" w:rsidRDefault="00C147EA" w:rsidP="004967F7">
            <w:pPr>
              <w:rPr>
                <w:rFonts w:ascii="Times New Roman" w:eastAsia="Times New Roman" w:hAnsi="Times New Roman" w:cs="Times New Roman"/>
                <w:sz w:val="24"/>
                <w:szCs w:val="24"/>
                <w:lang w:val="uk-UA"/>
              </w:rPr>
            </w:pPr>
          </w:p>
        </w:tc>
      </w:tr>
      <w:tr w:rsidR="00C147EA" w:rsidRPr="0093154D" w:rsidTr="00C147EA">
        <w:trPr>
          <w:trHeight w:val="33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center"/>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3</w:t>
            </w:r>
          </w:p>
        </w:tc>
        <w:tc>
          <w:tcPr>
            <w:tcW w:w="4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C147EA">
            <w:pPr>
              <w:spacing w:after="0" w:line="240" w:lineRule="auto"/>
              <w:ind w:left="100"/>
              <w:jc w:val="both"/>
              <w:rPr>
                <w:rFonts w:ascii="Times New Roman" w:eastAsia="Times New Roman" w:hAnsi="Times New Roman" w:cs="Times New Roman"/>
                <w:b/>
                <w:color w:val="000000"/>
                <w:sz w:val="24"/>
                <w:szCs w:val="24"/>
                <w:lang w:val="uk-UA"/>
              </w:rPr>
            </w:pPr>
            <w:r w:rsidRPr="0093154D">
              <w:rPr>
                <w:rFonts w:ascii="Times New Roman" w:eastAsia="Times New Roman" w:hAnsi="Times New Roman" w:cs="Times New Roman"/>
                <w:color w:val="333333"/>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3154D">
              <w:rPr>
                <w:rFonts w:ascii="Times New Roman" w:eastAsia="Times New Roman" w:hAnsi="Times New Roman" w:cs="Times New Roman"/>
                <w:b/>
                <w:color w:val="000000"/>
                <w:sz w:val="24"/>
                <w:szCs w:val="24"/>
                <w:lang w:val="uk-UA"/>
              </w:rPr>
              <w:t xml:space="preserve"> (пункт 12 частини 1 статті 17 Закону)</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47EA" w:rsidRPr="0093154D" w:rsidRDefault="00C147EA" w:rsidP="004967F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147EA" w:rsidRPr="0093154D" w:rsidTr="00C147EA">
        <w:trPr>
          <w:trHeight w:val="4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center"/>
              <w:rPr>
                <w:rFonts w:ascii="Times New Roman" w:eastAsia="Times New Roman" w:hAnsi="Times New Roman" w:cs="Times New Roman"/>
                <w:b/>
                <w:sz w:val="20"/>
                <w:szCs w:val="20"/>
                <w:lang w:val="uk-UA"/>
              </w:rPr>
            </w:pPr>
            <w:r w:rsidRPr="0093154D">
              <w:rPr>
                <w:rFonts w:ascii="Times New Roman" w:eastAsia="Times New Roman" w:hAnsi="Times New Roman" w:cs="Times New Roman"/>
                <w:b/>
                <w:sz w:val="20"/>
                <w:szCs w:val="20"/>
                <w:lang w:val="uk-UA"/>
              </w:rPr>
              <w:t>4</w:t>
            </w:r>
          </w:p>
        </w:tc>
        <w:tc>
          <w:tcPr>
            <w:tcW w:w="4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147EA" w:rsidRPr="0093154D" w:rsidRDefault="00C147EA" w:rsidP="004967F7">
            <w:pPr>
              <w:spacing w:after="0" w:line="240" w:lineRule="auto"/>
              <w:ind w:left="10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(частина 2 статті 17 Закону)</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40" w:right="14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Довідка в довільній формі</w:t>
            </w:r>
            <w:r w:rsidRPr="0093154D">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147EA" w:rsidRPr="0093154D" w:rsidRDefault="00C147EA" w:rsidP="00C147EA">
      <w:pPr>
        <w:spacing w:after="0" w:line="240" w:lineRule="auto"/>
        <w:rPr>
          <w:rFonts w:ascii="Times New Roman" w:eastAsia="Times New Roman" w:hAnsi="Times New Roman" w:cs="Times New Roman"/>
          <w:b/>
          <w:color w:val="000000"/>
          <w:sz w:val="20"/>
          <w:szCs w:val="20"/>
          <w:lang w:val="uk-UA"/>
        </w:rPr>
      </w:pPr>
    </w:p>
    <w:p w:rsidR="00C147EA" w:rsidRPr="0093154D" w:rsidRDefault="00C147EA" w:rsidP="00C147EA">
      <w:pPr>
        <w:spacing w:before="240" w:after="0" w:line="240" w:lineRule="auto"/>
        <w:jc w:val="center"/>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особою-підприємцем):</w:t>
      </w:r>
    </w:p>
    <w:tbl>
      <w:tblPr>
        <w:tblW w:w="10306" w:type="dxa"/>
        <w:tblLayout w:type="fixed"/>
        <w:tblLook w:val="0400"/>
      </w:tblPr>
      <w:tblGrid>
        <w:gridCol w:w="587"/>
        <w:gridCol w:w="3908"/>
        <w:gridCol w:w="5811"/>
      </w:tblGrid>
      <w:tr w:rsidR="00C147EA" w:rsidRPr="0093154D" w:rsidTr="00C147EA">
        <w:trPr>
          <w:trHeight w:val="7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center"/>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w:t>
            </w:r>
          </w:p>
          <w:p w:rsidR="00C147EA" w:rsidRPr="0093154D" w:rsidRDefault="00C147EA" w:rsidP="004967F7">
            <w:pPr>
              <w:spacing w:after="0" w:line="240" w:lineRule="auto"/>
              <w:ind w:left="100"/>
              <w:jc w:val="center"/>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п/п</w:t>
            </w:r>
          </w:p>
        </w:tc>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both"/>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Вимоги статті 17 Закону</w:t>
            </w:r>
          </w:p>
          <w:p w:rsidR="00C147EA" w:rsidRPr="0093154D" w:rsidRDefault="00C147EA" w:rsidP="004967F7">
            <w:pPr>
              <w:spacing w:after="0" w:line="240" w:lineRule="auto"/>
              <w:ind w:left="100"/>
              <w:jc w:val="both"/>
              <w:rPr>
                <w:rFonts w:ascii="Times New Roman" w:eastAsia="Times New Roman" w:hAnsi="Times New Roman" w:cs="Times New Roman"/>
                <w:sz w:val="20"/>
                <w:szCs w:val="20"/>
                <w:lang w:val="uk-UA"/>
              </w:rPr>
            </w:pP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both"/>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147EA" w:rsidRPr="0093154D" w:rsidTr="00C147EA">
        <w:trPr>
          <w:trHeight w:val="144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center"/>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1</w:t>
            </w:r>
          </w:p>
        </w:tc>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40" w:right="14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147EA" w:rsidRPr="0093154D" w:rsidRDefault="00C147EA" w:rsidP="004967F7">
            <w:pPr>
              <w:spacing w:after="0" w:line="240" w:lineRule="auto"/>
              <w:ind w:left="10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(пункт 3 частини 1 статті 17 Закону)</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pStyle w:val="rvps2"/>
              <w:shd w:val="clear" w:color="auto" w:fill="FFFFFF"/>
              <w:spacing w:before="0" w:beforeAutospacing="0" w:after="0" w:afterAutospacing="0"/>
              <w:ind w:firstLine="567"/>
              <w:jc w:val="both"/>
              <w:rPr>
                <w:lang w:val="uk-UA"/>
              </w:rPr>
            </w:pPr>
            <w:r w:rsidRPr="0093154D">
              <w:rPr>
                <w:rStyle w:val="rvts44"/>
                <w:rFonts w:eastAsia="Calibri"/>
                <w:lang w:val="uk-UA"/>
              </w:rPr>
              <w:t xml:space="preserve">В силу норми п. 1 ч. 1 ст. 3 </w:t>
            </w:r>
            <w:r w:rsidRPr="0093154D">
              <w:rPr>
                <w:lang w:val="uk-UA"/>
              </w:rPr>
              <w:t xml:space="preserve">від </w:t>
            </w:r>
            <w:r w:rsidRPr="0093154D">
              <w:rPr>
                <w:rStyle w:val="rvts44"/>
                <w:rFonts w:eastAsia="Calibri"/>
                <w:shd w:val="clear" w:color="auto" w:fill="FFFFFF"/>
                <w:lang w:val="uk-UA"/>
              </w:rPr>
              <w:t>13.01.2011 № 2939 «</w:t>
            </w:r>
            <w:r w:rsidRPr="0093154D">
              <w:rPr>
                <w:lang w:val="uk-UA"/>
              </w:rPr>
              <w:t xml:space="preserve">Про доступ до публічної інформації» (далі – Закон № 2939) </w:t>
            </w:r>
            <w:r w:rsidRPr="0093154D">
              <w:rPr>
                <w:rStyle w:val="rvts44"/>
                <w:rFonts w:eastAsia="Calibri"/>
                <w:lang w:val="uk-UA"/>
              </w:rPr>
              <w:t>п</w:t>
            </w:r>
            <w:r w:rsidRPr="0093154D">
              <w:rPr>
                <w:lang w:val="uk-UA"/>
              </w:rPr>
              <w:t>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C147EA" w:rsidRPr="0093154D" w:rsidRDefault="00C147EA" w:rsidP="004967F7">
            <w:pPr>
              <w:pStyle w:val="rvps2"/>
              <w:shd w:val="clear" w:color="auto" w:fill="FFFFFF"/>
              <w:spacing w:before="0" w:beforeAutospacing="0" w:after="0" w:afterAutospacing="0"/>
              <w:ind w:firstLine="567"/>
              <w:jc w:val="both"/>
              <w:rPr>
                <w:lang w:val="uk-UA"/>
              </w:rPr>
            </w:pPr>
            <w:r w:rsidRPr="0093154D">
              <w:rPr>
                <w:rStyle w:val="rvts44"/>
                <w:rFonts w:eastAsia="Calibri"/>
                <w:lang w:val="uk-UA"/>
              </w:rPr>
              <w:t xml:space="preserve">Згідно з пп.2 п. 1 ст. 4 Закону № 2939 </w:t>
            </w:r>
            <w:r w:rsidRPr="0093154D">
              <w:rPr>
                <w:lang w:val="uk-UA"/>
              </w:rPr>
              <w:t>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C147EA" w:rsidRPr="0093154D" w:rsidRDefault="00C147EA" w:rsidP="004967F7">
            <w:pPr>
              <w:pStyle w:val="a4"/>
              <w:shd w:val="clear" w:color="auto" w:fill="FFFFFF"/>
              <w:spacing w:before="0" w:beforeAutospacing="0" w:after="0" w:afterAutospacing="0"/>
              <w:ind w:firstLine="567"/>
              <w:jc w:val="both"/>
            </w:pPr>
            <w:r w:rsidRPr="0093154D">
              <w:rPr>
                <w:rStyle w:val="rvts9"/>
              </w:rPr>
              <w:t xml:space="preserve">Відповідно до ч. </w:t>
            </w:r>
            <w:r w:rsidRPr="0093154D">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C147EA" w:rsidRPr="0093154D" w:rsidRDefault="00C147EA" w:rsidP="004967F7">
            <w:pPr>
              <w:pStyle w:val="a4"/>
              <w:shd w:val="clear" w:color="auto" w:fill="FFFFFF"/>
              <w:spacing w:before="0" w:beforeAutospacing="0" w:after="0" w:afterAutospacing="0"/>
              <w:ind w:firstLine="567"/>
              <w:jc w:val="both"/>
            </w:pPr>
            <w:r w:rsidRPr="0093154D">
              <w:t>З 24.02.2022 відповідно до Закону України «Про правовий режим воєнного стану» в Україні діє режим воєнного стану.</w:t>
            </w:r>
          </w:p>
          <w:p w:rsidR="00C147EA" w:rsidRPr="0093154D" w:rsidRDefault="00C147EA" w:rsidP="004967F7">
            <w:pPr>
              <w:pStyle w:val="rvps2"/>
              <w:shd w:val="clear" w:color="auto" w:fill="FFFFFF"/>
              <w:spacing w:before="0" w:beforeAutospacing="0" w:after="0" w:afterAutospacing="0"/>
              <w:ind w:firstLine="567"/>
              <w:jc w:val="both"/>
              <w:rPr>
                <w:shd w:val="clear" w:color="auto" w:fill="FFFFFF"/>
              </w:rPr>
            </w:pPr>
            <w:r w:rsidRPr="0093154D">
              <w:rPr>
                <w:shd w:val="clear" w:color="auto" w:fill="FFFFFF"/>
              </w:rPr>
              <w:t>Указом Президента України від 24.02.2022 № 64 (далі – Указ № 64), зі змінами,</w:t>
            </w:r>
            <w:r w:rsidRPr="0093154D">
              <w:rPr>
                <w:shd w:val="clear" w:color="auto" w:fill="FFFFFF"/>
                <w:lang w:val="uk-UA"/>
              </w:rPr>
              <w:t xml:space="preserve"> </w:t>
            </w:r>
            <w:r w:rsidRPr="0093154D">
              <w:rPr>
                <w:shd w:val="clear" w:color="auto" w:fill="FFFFFF"/>
              </w:rPr>
              <w:t>введено воєнний стан в Україні.</w:t>
            </w:r>
          </w:p>
          <w:p w:rsidR="00C147EA" w:rsidRPr="0093154D" w:rsidRDefault="00C147EA" w:rsidP="004967F7">
            <w:pPr>
              <w:pStyle w:val="afa"/>
              <w:ind w:firstLine="567"/>
              <w:jc w:val="both"/>
              <w:rPr>
                <w:rFonts w:ascii="Times New Roman" w:hAnsi="Times New Roman"/>
                <w:sz w:val="24"/>
                <w:szCs w:val="24"/>
                <w:shd w:val="clear" w:color="auto" w:fill="FFFFFF"/>
              </w:rPr>
            </w:pPr>
            <w:r w:rsidRPr="0093154D">
              <w:rPr>
                <w:rFonts w:ascii="Times New Roman" w:hAnsi="Times New Roman"/>
                <w:spacing w:val="15"/>
                <w:sz w:val="24"/>
                <w:szCs w:val="24"/>
                <w:shd w:val="clear" w:color="auto" w:fill="FFFFFF"/>
              </w:rPr>
              <w:t>Відповідно до постанови КМУ від 12.03.2022 № 263 «</w:t>
            </w:r>
            <w:r w:rsidRPr="0093154D">
              <w:rPr>
                <w:rFonts w:ascii="Times New Roman" w:hAnsi="Times New Roman"/>
                <w:sz w:val="24"/>
                <w:szCs w:val="24"/>
                <w:shd w:val="clear" w:color="auto" w:fill="FFFFFF"/>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C147EA" w:rsidRPr="0093154D" w:rsidRDefault="00C147EA" w:rsidP="004967F7">
            <w:pPr>
              <w:pStyle w:val="afa"/>
              <w:jc w:val="both"/>
              <w:rPr>
                <w:rFonts w:ascii="Times New Roman" w:hAnsi="Times New Roman"/>
                <w:sz w:val="24"/>
                <w:szCs w:val="24"/>
                <w:shd w:val="clear" w:color="auto" w:fill="FFFFFF"/>
              </w:rPr>
            </w:pPr>
            <w:r w:rsidRPr="0093154D">
              <w:rPr>
                <w:rFonts w:ascii="Times New Roman" w:hAnsi="Times New Roman"/>
                <w:sz w:val="24"/>
                <w:szCs w:val="24"/>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C147EA" w:rsidRPr="0093154D" w:rsidRDefault="00C147EA" w:rsidP="004967F7">
            <w:pPr>
              <w:spacing w:after="0" w:line="240" w:lineRule="auto"/>
              <w:ind w:right="140"/>
              <w:jc w:val="both"/>
              <w:rPr>
                <w:rFonts w:ascii="Times New Roman" w:eastAsia="Times New Roman" w:hAnsi="Times New Roman" w:cs="Times New Roman"/>
                <w:b/>
                <w:color w:val="000000"/>
                <w:sz w:val="24"/>
                <w:szCs w:val="24"/>
                <w:lang w:val="uk-UA"/>
              </w:rPr>
            </w:pPr>
            <w:r w:rsidRPr="0093154D">
              <w:rPr>
                <w:rFonts w:ascii="Times New Roman" w:hAnsi="Times New Roman" w:cs="Times New Roman"/>
                <w:b/>
                <w:sz w:val="24"/>
                <w:szCs w:val="24"/>
                <w:lang w:val="uk-UA"/>
              </w:rPr>
              <w:t xml:space="preserve">У зв’язку із вище викладеним та враховуючи </w:t>
            </w:r>
            <w:r w:rsidRPr="0093154D">
              <w:rPr>
                <w:rFonts w:ascii="Times New Roman" w:hAnsi="Times New Roman" w:cs="Times New Roman"/>
                <w:b/>
                <w:sz w:val="24"/>
                <w:szCs w:val="24"/>
                <w:lang w:val="uk-UA"/>
              </w:rPr>
              <w:lastRenderedPageBreak/>
              <w:t>запровадження на території України правового режиму воєнного стану, та у зв’язку з обмеженням доступу до публічної інформації, на підтвердження відсутності підстав для відмови в участі у процедурі по даному пункту, учасник-переможець подає -</w:t>
            </w:r>
            <w:r w:rsidRPr="0093154D">
              <w:rPr>
                <w:rFonts w:ascii="Times New Roman" w:eastAsia="Times New Roman" w:hAnsi="Times New Roman" w:cs="Times New Roman"/>
                <w:b/>
                <w:i/>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93154D">
              <w:rPr>
                <w:rFonts w:ascii="Times New Roman" w:eastAsia="Times New Roman" w:hAnsi="Times New Roman" w:cs="Times New Roman"/>
                <w:b/>
                <w:i/>
                <w:color w:val="000000"/>
                <w:sz w:val="24"/>
                <w:szCs w:val="24"/>
                <w:u w:val="single"/>
                <w:lang w:val="uk-UA"/>
              </w:rPr>
              <w:t>що видана не більше 30-денної давності до моменту її подання.</w:t>
            </w:r>
            <w:r w:rsidRPr="0093154D">
              <w:rPr>
                <w:rFonts w:ascii="Times New Roman" w:eastAsia="Times New Roman" w:hAnsi="Times New Roman" w:cs="Times New Roman"/>
                <w:b/>
                <w:i/>
                <w:color w:val="000000"/>
                <w:sz w:val="24"/>
                <w:szCs w:val="24"/>
                <w:lang w:val="uk-UA"/>
              </w:rPr>
              <w:t xml:space="preserve"> </w:t>
            </w:r>
            <w:r w:rsidRPr="0093154D">
              <w:rPr>
                <w:rFonts w:ascii="Times New Roman" w:eastAsia="Times New Roman" w:hAnsi="Times New Roman" w:cs="Times New Roman"/>
                <w:b/>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147EA" w:rsidRPr="0093154D" w:rsidTr="00C147E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center"/>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lastRenderedPageBreak/>
              <w:t>2</w:t>
            </w:r>
          </w:p>
        </w:tc>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40" w:right="14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147EA" w:rsidRPr="0093154D" w:rsidRDefault="00C147EA" w:rsidP="004967F7">
            <w:pPr>
              <w:spacing w:after="0" w:line="240" w:lineRule="auto"/>
              <w:ind w:right="14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 (пункт 5 частини 1 статті 17 Закону)</w:t>
            </w:r>
          </w:p>
        </w:tc>
        <w:tc>
          <w:tcPr>
            <w:tcW w:w="58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3154D">
              <w:rPr>
                <w:rFonts w:ascii="Times New Roman" w:eastAsia="Times New Roman" w:hAnsi="Times New Roman" w:cs="Times New Roman"/>
                <w:color w:val="000000"/>
                <w:sz w:val="24"/>
                <w:szCs w:val="24"/>
                <w:lang w:val="uk-UA"/>
              </w:rPr>
              <w:t>Документ повинен бути не більше 30-денної давнини від дати подання документа. </w:t>
            </w:r>
          </w:p>
        </w:tc>
      </w:tr>
      <w:tr w:rsidR="00C147EA" w:rsidRPr="0093154D" w:rsidTr="00C147EA">
        <w:trPr>
          <w:trHeight w:val="24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center"/>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4</w:t>
            </w:r>
          </w:p>
        </w:tc>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47EA" w:rsidRPr="0093154D" w:rsidRDefault="00C147EA" w:rsidP="004967F7">
            <w:pPr>
              <w:spacing w:after="0" w:line="240" w:lineRule="auto"/>
              <w:ind w:left="10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(пункт 12 частини 1 статті 17 Закону)</w:t>
            </w:r>
          </w:p>
        </w:tc>
        <w:tc>
          <w:tcPr>
            <w:tcW w:w="58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47EA" w:rsidRPr="0093154D" w:rsidRDefault="00C147EA" w:rsidP="004967F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147EA" w:rsidRPr="0093154D" w:rsidTr="00C147E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center"/>
              <w:rPr>
                <w:rFonts w:ascii="Times New Roman" w:eastAsia="Times New Roman" w:hAnsi="Times New Roman" w:cs="Times New Roman"/>
                <w:b/>
                <w:sz w:val="20"/>
                <w:szCs w:val="20"/>
                <w:lang w:val="uk-UA"/>
              </w:rPr>
            </w:pPr>
            <w:r w:rsidRPr="0093154D">
              <w:rPr>
                <w:rFonts w:ascii="Times New Roman" w:eastAsia="Times New Roman" w:hAnsi="Times New Roman" w:cs="Times New Roman"/>
                <w:b/>
                <w:sz w:val="20"/>
                <w:szCs w:val="20"/>
                <w:lang w:val="uk-UA"/>
              </w:rPr>
              <w:t>5</w:t>
            </w:r>
          </w:p>
        </w:tc>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0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147EA" w:rsidRPr="0093154D" w:rsidRDefault="00C147EA" w:rsidP="004967F7">
            <w:pPr>
              <w:spacing w:after="0" w:line="240" w:lineRule="auto"/>
              <w:ind w:left="10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(частина 2 статті 17 Закону)</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7EA" w:rsidRPr="0093154D" w:rsidRDefault="00C147EA" w:rsidP="004967F7">
            <w:pPr>
              <w:spacing w:after="0" w:line="240" w:lineRule="auto"/>
              <w:ind w:left="140" w:right="140"/>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b/>
                <w:color w:val="000000"/>
                <w:sz w:val="24"/>
                <w:szCs w:val="24"/>
                <w:lang w:val="uk-UA"/>
              </w:rPr>
              <w:t>Довідка в довільній формі</w:t>
            </w:r>
            <w:r w:rsidRPr="0093154D">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w:t>
            </w:r>
            <w:r w:rsidRPr="0093154D">
              <w:rPr>
                <w:rFonts w:ascii="Times New Roman" w:eastAsia="Times New Roman" w:hAnsi="Times New Roman" w:cs="Times New Roman"/>
                <w:color w:val="000000"/>
                <w:sz w:val="24"/>
                <w:szCs w:val="24"/>
                <w:lang w:val="uk-UA"/>
              </w:rPr>
              <w:lastRenderedPageBreak/>
              <w:t>закупівлі..</w:t>
            </w:r>
          </w:p>
        </w:tc>
      </w:tr>
    </w:tbl>
    <w:p w:rsidR="00C147EA" w:rsidRPr="0093154D" w:rsidRDefault="00C147EA" w:rsidP="00C147EA">
      <w:pPr>
        <w:shd w:val="clear" w:color="auto" w:fill="FFFFFF"/>
        <w:spacing w:before="120" w:after="0" w:line="240" w:lineRule="auto"/>
        <w:jc w:val="both"/>
        <w:rPr>
          <w:rFonts w:ascii="Times New Roman" w:eastAsia="Times New Roman" w:hAnsi="Times New Roman" w:cs="Times New Roman"/>
          <w:sz w:val="20"/>
          <w:szCs w:val="20"/>
          <w:lang w:val="uk-UA"/>
        </w:rPr>
      </w:pPr>
      <w:r w:rsidRPr="0093154D">
        <w:rPr>
          <w:rFonts w:ascii="Times New Roman" w:eastAsia="Times New Roman" w:hAnsi="Times New Roman" w:cs="Times New Roman"/>
          <w:b/>
          <w:i/>
          <w:sz w:val="20"/>
          <w:szCs w:val="20"/>
          <w:lang w:val="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2456C" w:rsidRPr="0093154D" w:rsidRDefault="00364B2A">
      <w:pPr>
        <w:shd w:val="clear" w:color="auto" w:fill="FFFFFF"/>
        <w:spacing w:after="0" w:line="240" w:lineRule="auto"/>
        <w:rPr>
          <w:rFonts w:ascii="Times New Roman" w:eastAsia="Times New Roman" w:hAnsi="Times New Roman" w:cs="Times New Roman"/>
          <w:sz w:val="20"/>
          <w:szCs w:val="20"/>
          <w:lang w:val="uk-UA"/>
        </w:rPr>
      </w:pPr>
      <w:r w:rsidRPr="0093154D">
        <w:rPr>
          <w:rFonts w:ascii="Times New Roman" w:eastAsia="Times New Roman" w:hAnsi="Times New Roman" w:cs="Times New Roman"/>
          <w:sz w:val="20"/>
          <w:szCs w:val="20"/>
        </w:rPr>
        <w:t> </w:t>
      </w:r>
    </w:p>
    <w:p w:rsidR="00F2456C" w:rsidRPr="0093154D"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93154D">
        <w:rPr>
          <w:rFonts w:ascii="Times New Roman" w:eastAsia="Times New Roman" w:hAnsi="Times New Roman" w:cs="Times New Roman"/>
          <w:b/>
          <w:color w:val="000000"/>
          <w:sz w:val="24"/>
          <w:szCs w:val="24"/>
          <w:lang w:val="uk-UA"/>
        </w:rPr>
        <w:t>4. Інша інформація</w:t>
      </w:r>
      <w:r w:rsidR="006D026C" w:rsidRPr="0093154D">
        <w:rPr>
          <w:rFonts w:ascii="Times New Roman" w:eastAsia="Times New Roman" w:hAnsi="Times New Roman" w:cs="Times New Roman"/>
          <w:b/>
          <w:color w:val="000000"/>
          <w:sz w:val="24"/>
          <w:szCs w:val="24"/>
          <w:lang w:val="uk-UA"/>
        </w:rPr>
        <w:t xml:space="preserve"> та документи</w:t>
      </w:r>
      <w:r w:rsidRPr="0093154D">
        <w:rPr>
          <w:rFonts w:ascii="Times New Roman" w:eastAsia="Times New Roman" w:hAnsi="Times New Roman" w:cs="Times New Roman"/>
          <w:b/>
          <w:color w:val="000000"/>
          <w:sz w:val="24"/>
          <w:szCs w:val="24"/>
          <w:lang w:val="uk-UA"/>
        </w:rPr>
        <w:t xml:space="preserve"> встановлен</w:t>
      </w:r>
      <w:r w:rsidR="006D026C" w:rsidRPr="0093154D">
        <w:rPr>
          <w:rFonts w:ascii="Times New Roman" w:eastAsia="Times New Roman" w:hAnsi="Times New Roman" w:cs="Times New Roman"/>
          <w:b/>
          <w:color w:val="000000"/>
          <w:sz w:val="24"/>
          <w:szCs w:val="24"/>
          <w:lang w:val="uk-UA"/>
        </w:rPr>
        <w:t>і</w:t>
      </w:r>
      <w:r w:rsidRPr="0093154D">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93154D">
        <w:rPr>
          <w:rFonts w:ascii="Times New Roman" w:eastAsia="Times New Roman" w:hAnsi="Times New Roman" w:cs="Times New Roman"/>
          <w:b/>
          <w:sz w:val="24"/>
          <w:szCs w:val="24"/>
          <w:lang w:val="uk-UA"/>
        </w:rPr>
        <w:t>—</w:t>
      </w:r>
      <w:r w:rsidRPr="0093154D">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93154D">
        <w:rPr>
          <w:rFonts w:ascii="Times New Roman" w:eastAsia="Times New Roman" w:hAnsi="Times New Roman" w:cs="Times New Roman"/>
          <w:b/>
          <w:sz w:val="24"/>
          <w:szCs w:val="24"/>
          <w:lang w:val="uk-UA"/>
        </w:rPr>
        <w:t xml:space="preserve"> — </w:t>
      </w:r>
      <w:r w:rsidRPr="0093154D">
        <w:rPr>
          <w:rFonts w:ascii="Times New Roman" w:eastAsia="Times New Roman" w:hAnsi="Times New Roman" w:cs="Times New Roman"/>
          <w:b/>
          <w:color w:val="000000"/>
          <w:sz w:val="24"/>
          <w:szCs w:val="24"/>
          <w:lang w:val="uk-UA"/>
        </w:rPr>
        <w:t>підприємців).</w:t>
      </w:r>
    </w:p>
    <w:tbl>
      <w:tblPr>
        <w:tblW w:w="9619" w:type="dxa"/>
        <w:tblLayout w:type="fixed"/>
        <w:tblLook w:val="0400"/>
      </w:tblPr>
      <w:tblGrid>
        <w:gridCol w:w="416"/>
        <w:gridCol w:w="9203"/>
      </w:tblGrid>
      <w:tr w:rsidR="008A6D67" w:rsidRPr="0093154D"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6D67" w:rsidRPr="0093154D" w:rsidRDefault="008A6D67" w:rsidP="008A6D67">
            <w:pPr>
              <w:spacing w:after="0" w:line="240" w:lineRule="auto"/>
              <w:ind w:left="100"/>
              <w:jc w:val="center"/>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Інші документи</w:t>
            </w:r>
            <w:r w:rsidR="006D026C" w:rsidRPr="0093154D">
              <w:rPr>
                <w:rFonts w:ascii="Times New Roman" w:eastAsia="Times New Roman" w:hAnsi="Times New Roman" w:cs="Times New Roman"/>
                <w:b/>
                <w:color w:val="000000"/>
                <w:sz w:val="20"/>
                <w:szCs w:val="20"/>
                <w:lang w:val="uk-UA"/>
              </w:rPr>
              <w:t xml:space="preserve"> та інформація </w:t>
            </w:r>
            <w:r w:rsidRPr="0093154D">
              <w:rPr>
                <w:rFonts w:ascii="Times New Roman" w:eastAsia="Times New Roman" w:hAnsi="Times New Roman" w:cs="Times New Roman"/>
                <w:b/>
                <w:color w:val="000000"/>
                <w:sz w:val="20"/>
                <w:szCs w:val="20"/>
                <w:lang w:val="uk-UA"/>
              </w:rPr>
              <w:t xml:space="preserve"> від Учасника:</w:t>
            </w:r>
          </w:p>
        </w:tc>
      </w:tr>
      <w:tr w:rsidR="008A6D67" w:rsidRPr="0093154D"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93154D" w:rsidRDefault="008A6D67" w:rsidP="008A6D67">
            <w:pPr>
              <w:spacing w:after="0" w:line="240" w:lineRule="auto"/>
              <w:ind w:left="100"/>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93154D" w:rsidRDefault="008A6D67" w:rsidP="00B81D9F">
            <w:pPr>
              <w:spacing w:after="0" w:line="240" w:lineRule="auto"/>
              <w:jc w:val="both"/>
              <w:rPr>
                <w:rFonts w:ascii="Times New Roman" w:eastAsia="Times New Roman" w:hAnsi="Times New Roman" w:cs="Times New Roman"/>
                <w:sz w:val="24"/>
                <w:szCs w:val="24"/>
                <w:lang w:val="uk-UA" w:eastAsia="en-US"/>
              </w:rPr>
            </w:pPr>
            <w:r w:rsidRPr="0093154D">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rsidR="008A6D67" w:rsidRPr="0093154D" w:rsidRDefault="00ED7F2B" w:rsidP="00B81D9F">
            <w:pPr>
              <w:spacing w:after="0" w:line="240" w:lineRule="auto"/>
              <w:jc w:val="both"/>
              <w:rPr>
                <w:rFonts w:ascii="Times New Roman" w:eastAsia="Times New Roman" w:hAnsi="Times New Roman" w:cs="Times New Roman"/>
                <w:sz w:val="24"/>
                <w:szCs w:val="24"/>
                <w:lang w:val="uk-UA" w:eastAsia="en-US"/>
              </w:rPr>
            </w:pPr>
            <w:bookmarkStart w:id="0" w:name="_Hlk120274651"/>
            <w:r w:rsidRPr="0093154D">
              <w:rPr>
                <w:rFonts w:ascii="Times New Roman" w:eastAsia="Times New Roman" w:hAnsi="Times New Roman" w:cs="Times New Roman"/>
                <w:sz w:val="24"/>
                <w:szCs w:val="24"/>
                <w:lang w:val="uk-UA" w:eastAsia="en-US"/>
              </w:rPr>
              <w:t xml:space="preserve">- </w:t>
            </w:r>
            <w:r w:rsidR="008A6D67" w:rsidRPr="0093154D">
              <w:rPr>
                <w:rFonts w:ascii="Times New Roman" w:eastAsia="Times New Roman" w:hAnsi="Times New Roman" w:cs="Times New Roman"/>
                <w:sz w:val="24"/>
                <w:szCs w:val="24"/>
                <w:lang w:val="uk-UA" w:eastAsia="en-US"/>
              </w:rPr>
              <w:t>актуальн</w:t>
            </w:r>
            <w:r w:rsidRPr="0093154D">
              <w:rPr>
                <w:rFonts w:ascii="Times New Roman" w:eastAsia="Times New Roman" w:hAnsi="Times New Roman" w:cs="Times New Roman"/>
                <w:sz w:val="24"/>
                <w:szCs w:val="24"/>
                <w:lang w:val="uk-UA" w:eastAsia="en-US"/>
              </w:rPr>
              <w:t>у</w:t>
            </w:r>
            <w:r w:rsidR="008A6D67" w:rsidRPr="0093154D">
              <w:rPr>
                <w:rFonts w:ascii="Times New Roman" w:eastAsia="Times New Roman" w:hAnsi="Times New Roman" w:cs="Times New Roman"/>
                <w:sz w:val="24"/>
                <w:szCs w:val="24"/>
                <w:lang w:val="uk-UA" w:eastAsia="en-US"/>
              </w:rPr>
              <w:t xml:space="preserve"> на дату подання редакці</w:t>
            </w:r>
            <w:r w:rsidRPr="0093154D">
              <w:rPr>
                <w:rFonts w:ascii="Times New Roman" w:eastAsia="Times New Roman" w:hAnsi="Times New Roman" w:cs="Times New Roman"/>
                <w:sz w:val="24"/>
                <w:szCs w:val="24"/>
                <w:lang w:val="uk-UA" w:eastAsia="en-US"/>
              </w:rPr>
              <w:t>ю</w:t>
            </w:r>
            <w:r w:rsidR="008A6D67" w:rsidRPr="0093154D">
              <w:rPr>
                <w:rFonts w:ascii="Times New Roman" w:eastAsia="Times New Roman" w:hAnsi="Times New Roman" w:cs="Times New Roman"/>
                <w:sz w:val="24"/>
                <w:szCs w:val="24"/>
                <w:lang w:val="uk-UA" w:eastAsia="en-US"/>
              </w:rPr>
              <w:t xml:space="preserve"> Статуту або Положення або інш</w:t>
            </w:r>
            <w:r w:rsidRPr="0093154D">
              <w:rPr>
                <w:rFonts w:ascii="Times New Roman" w:eastAsia="Times New Roman" w:hAnsi="Times New Roman" w:cs="Times New Roman"/>
                <w:sz w:val="24"/>
                <w:szCs w:val="24"/>
                <w:lang w:val="uk-UA" w:eastAsia="en-US"/>
              </w:rPr>
              <w:t>і</w:t>
            </w:r>
            <w:r w:rsidR="008A6D67" w:rsidRPr="0093154D">
              <w:rPr>
                <w:rFonts w:ascii="Times New Roman" w:eastAsia="Times New Roman" w:hAnsi="Times New Roman" w:cs="Times New Roman"/>
                <w:sz w:val="24"/>
                <w:szCs w:val="24"/>
                <w:lang w:val="uk-UA" w:eastAsia="en-US"/>
              </w:rPr>
              <w:t xml:space="preserve"> установч</w:t>
            </w:r>
            <w:r w:rsidRPr="0093154D">
              <w:rPr>
                <w:rFonts w:ascii="Times New Roman" w:eastAsia="Times New Roman" w:hAnsi="Times New Roman" w:cs="Times New Roman"/>
                <w:sz w:val="24"/>
                <w:szCs w:val="24"/>
                <w:lang w:val="uk-UA" w:eastAsia="en-US"/>
              </w:rPr>
              <w:t>і</w:t>
            </w:r>
            <w:r w:rsidR="008A6D67" w:rsidRPr="0093154D">
              <w:rPr>
                <w:rFonts w:ascii="Times New Roman" w:eastAsia="Times New Roman" w:hAnsi="Times New Roman" w:cs="Times New Roman"/>
                <w:sz w:val="24"/>
                <w:szCs w:val="24"/>
                <w:lang w:val="uk-UA" w:eastAsia="en-US"/>
              </w:rPr>
              <w:t xml:space="preserve"> документ</w:t>
            </w:r>
            <w:r w:rsidRPr="0093154D">
              <w:rPr>
                <w:rFonts w:ascii="Times New Roman" w:eastAsia="Times New Roman" w:hAnsi="Times New Roman" w:cs="Times New Roman"/>
                <w:sz w:val="24"/>
                <w:szCs w:val="24"/>
                <w:lang w:val="uk-UA" w:eastAsia="en-US"/>
              </w:rPr>
              <w:t>и</w:t>
            </w:r>
            <w:r w:rsidR="008A6D67" w:rsidRPr="0093154D">
              <w:rPr>
                <w:rFonts w:ascii="Times New Roman" w:eastAsia="Times New Roman" w:hAnsi="Times New Roman" w:cs="Times New Roman"/>
                <w:sz w:val="24"/>
                <w:szCs w:val="24"/>
                <w:lang w:val="uk-UA" w:eastAsia="en-US"/>
              </w:rPr>
              <w:t xml:space="preserve">. </w:t>
            </w:r>
            <w:bookmarkEnd w:id="0"/>
          </w:p>
          <w:p w:rsidR="00B81D9F" w:rsidRPr="0093154D"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93154D">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ED7F2B" w:rsidRPr="0093154D"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93154D">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ED7F2B" w:rsidRPr="0093154D"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93154D">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rsidR="008A6D67" w:rsidRPr="0093154D"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1" w:name="_Hlk120274751"/>
            <w:r w:rsidRPr="0093154D">
              <w:rPr>
                <w:rFonts w:ascii="Times New Roman" w:eastAsia="Times New Roman" w:hAnsi="Times New Roman" w:cs="Times New Roman"/>
                <w:color w:val="000000"/>
                <w:sz w:val="24"/>
                <w:szCs w:val="24"/>
                <w:lang w:val="uk-UA" w:eastAsia="en-US"/>
              </w:rPr>
              <w:t>- довірен</w:t>
            </w:r>
            <w:r w:rsidR="00ED7F2B" w:rsidRPr="0093154D">
              <w:rPr>
                <w:rFonts w:ascii="Times New Roman" w:eastAsia="Times New Roman" w:hAnsi="Times New Roman" w:cs="Times New Roman"/>
                <w:color w:val="000000"/>
                <w:sz w:val="24"/>
                <w:szCs w:val="24"/>
                <w:lang w:val="uk-UA" w:eastAsia="en-US"/>
              </w:rPr>
              <w:t>ість</w:t>
            </w:r>
            <w:r w:rsidRPr="0093154D">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sidRPr="0093154D">
              <w:rPr>
                <w:rFonts w:ascii="Times New Roman" w:eastAsia="Times New Roman" w:hAnsi="Times New Roman" w:cs="Times New Roman"/>
                <w:color w:val="000000"/>
                <w:sz w:val="24"/>
                <w:szCs w:val="24"/>
                <w:lang w:val="uk-UA" w:eastAsia="en-US"/>
              </w:rPr>
              <w:t>у</w:t>
            </w:r>
            <w:r w:rsidRPr="0093154D">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93154D">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1"/>
          <w:p w:rsidR="008A6D67" w:rsidRPr="0093154D"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93154D">
              <w:rPr>
                <w:rFonts w:ascii="Times New Roman" w:eastAsia="Times New Roman" w:hAnsi="Times New Roman" w:cs="Times New Roman"/>
                <w:b/>
                <w:color w:val="000000"/>
                <w:sz w:val="24"/>
                <w:szCs w:val="24"/>
                <w:lang w:val="uk-UA" w:eastAsia="en-US"/>
              </w:rPr>
              <w:t>та</w:t>
            </w:r>
          </w:p>
          <w:p w:rsidR="008A6D67" w:rsidRPr="0093154D"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3" w:name="_Hlk120274776"/>
            <w:r w:rsidRPr="0093154D">
              <w:rPr>
                <w:rFonts w:ascii="Times New Roman" w:eastAsia="Times New Roman" w:hAnsi="Times New Roman" w:cs="Times New Roman"/>
                <w:color w:val="000000"/>
                <w:sz w:val="24"/>
                <w:szCs w:val="24"/>
                <w:lang w:val="uk-UA" w:eastAsia="en-US"/>
              </w:rPr>
              <w:t>-  документ</w:t>
            </w:r>
            <w:r w:rsidR="00ED7F2B" w:rsidRPr="0093154D">
              <w:rPr>
                <w:rFonts w:ascii="Times New Roman" w:eastAsia="Times New Roman" w:hAnsi="Times New Roman" w:cs="Times New Roman"/>
                <w:color w:val="000000"/>
                <w:sz w:val="24"/>
                <w:szCs w:val="24"/>
                <w:lang w:val="uk-UA" w:eastAsia="en-US"/>
              </w:rPr>
              <w:t>и</w:t>
            </w:r>
            <w:r w:rsidRPr="0093154D">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3"/>
          </w:p>
          <w:p w:rsidR="008A6D67" w:rsidRPr="0093154D"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93154D">
              <w:rPr>
                <w:rFonts w:ascii="Times New Roman" w:eastAsia="Times New Roman" w:hAnsi="Times New Roman" w:cs="Times New Roman"/>
                <w:color w:val="000000"/>
                <w:sz w:val="24"/>
                <w:szCs w:val="24"/>
                <w:lang w:val="uk-UA" w:eastAsia="en-US"/>
              </w:rPr>
              <w:t xml:space="preserve">1.2.  </w:t>
            </w:r>
            <w:bookmarkStart w:id="4" w:name="_Hlk120274903"/>
            <w:r w:rsidRPr="0093154D">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8A6D67" w:rsidRPr="0093154D"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93154D">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4"/>
          <w:p w:rsidR="008A6D67" w:rsidRPr="0093154D"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rsidR="008A6D67" w:rsidRPr="0093154D" w:rsidRDefault="008A6D67" w:rsidP="00B81D9F">
            <w:pPr>
              <w:spacing w:after="0" w:line="240" w:lineRule="auto"/>
              <w:ind w:left="43"/>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color w:val="000000"/>
                <w:sz w:val="24"/>
                <w:szCs w:val="24"/>
                <w:lang w:val="uk-UA" w:eastAsia="en-US"/>
              </w:rPr>
              <w:t xml:space="preserve">1.3.  </w:t>
            </w:r>
            <w:bookmarkStart w:id="5" w:name="_Hlk120274892"/>
            <w:r w:rsidRPr="0093154D">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5"/>
          </w:p>
        </w:tc>
      </w:tr>
      <w:tr w:rsidR="008A6D67" w:rsidRPr="0093154D"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93154D" w:rsidRDefault="008A6D67" w:rsidP="008A6D67">
            <w:pPr>
              <w:spacing w:before="240" w:after="0" w:line="240" w:lineRule="auto"/>
              <w:ind w:left="100"/>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93154D"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6" w:name="_Hlk120274967"/>
            <w:r w:rsidRPr="0093154D">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93154D">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3154D">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sidRPr="0093154D">
              <w:rPr>
                <w:rFonts w:ascii="Times New Roman" w:eastAsia="Times New Roman" w:hAnsi="Times New Roman" w:cs="Times New Roman"/>
                <w:i/>
                <w:color w:val="000000"/>
                <w:sz w:val="24"/>
                <w:szCs w:val="24"/>
                <w:lang w:val="uk-UA"/>
              </w:rPr>
              <w:t>.</w:t>
            </w:r>
            <w:bookmarkEnd w:id="6"/>
          </w:p>
        </w:tc>
      </w:tr>
      <w:tr w:rsidR="008A6D67" w:rsidRPr="0093154D"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93154D" w:rsidRDefault="008A6D67" w:rsidP="008A6D67">
            <w:pPr>
              <w:spacing w:before="240" w:after="0" w:line="240" w:lineRule="auto"/>
              <w:ind w:left="100"/>
              <w:rPr>
                <w:rFonts w:ascii="Times New Roman" w:eastAsia="Times New Roman" w:hAnsi="Times New Roman" w:cs="Times New Roman"/>
                <w:sz w:val="20"/>
                <w:szCs w:val="20"/>
                <w:lang w:val="uk-UA"/>
              </w:rPr>
            </w:pPr>
            <w:r w:rsidRPr="0093154D">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1C8" w:rsidRPr="0093154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7" w:name="_Hlk120275028"/>
            <w:r w:rsidRPr="0093154D">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93154D">
              <w:rPr>
                <w:rFonts w:ascii="Times New Roman" w:eastAsia="Times New Roman" w:hAnsi="Times New Roman" w:cs="Times New Roman"/>
                <w:iCs/>
                <w:sz w:val="24"/>
                <w:szCs w:val="24"/>
                <w:lang w:val="uk-UA"/>
              </w:rPr>
              <w:t xml:space="preserve">виданий  не раніше 30 календарних днів від дати оголошення цієї закупівлі.  </w:t>
            </w:r>
          </w:p>
          <w:bookmarkEnd w:id="7"/>
          <w:p w:rsidR="008A6D67" w:rsidRPr="0093154D"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iCs/>
                <w:sz w:val="24"/>
                <w:szCs w:val="24"/>
                <w:lang w:val="uk-UA"/>
              </w:rPr>
              <w:t>(</w:t>
            </w:r>
            <w:r w:rsidRPr="0093154D">
              <w:rPr>
                <w:rFonts w:ascii="Times New Roman" w:eastAsia="Times New Roman" w:hAnsi="Times New Roman" w:cs="Times New Roman"/>
                <w:i/>
                <w:sz w:val="24"/>
                <w:szCs w:val="24"/>
                <w:lang w:val="uk-UA"/>
              </w:rPr>
              <w:t xml:space="preserve">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w:t>
            </w:r>
            <w:r w:rsidRPr="0093154D">
              <w:rPr>
                <w:rFonts w:ascii="Times New Roman" w:eastAsia="Times New Roman" w:hAnsi="Times New Roman" w:cs="Times New Roman"/>
                <w:i/>
                <w:sz w:val="24"/>
                <w:szCs w:val="24"/>
                <w:lang w:val="uk-UA"/>
              </w:rPr>
              <w:lastRenderedPageBreak/>
              <w:t>доступі</w:t>
            </w:r>
            <w:r w:rsidR="006D51C8" w:rsidRPr="0093154D">
              <w:rPr>
                <w:rFonts w:ascii="Times New Roman" w:eastAsia="Times New Roman" w:hAnsi="Times New Roman" w:cs="Times New Roman"/>
                <w:i/>
                <w:sz w:val="24"/>
                <w:szCs w:val="24"/>
                <w:lang w:val="uk-UA"/>
              </w:rPr>
              <w:t>.</w:t>
            </w:r>
            <w:r w:rsidR="006D51C8" w:rsidRPr="0093154D">
              <w:rPr>
                <w:rFonts w:ascii="Times New Roman" w:eastAsia="Times New Roman" w:hAnsi="Times New Roman" w:cs="Times New Roman"/>
                <w:i/>
                <w:color w:val="000000"/>
                <w:sz w:val="24"/>
                <w:szCs w:val="24"/>
                <w:lang w:val="uk-UA"/>
              </w:rPr>
              <w:t xml:space="preserve"> Для учасників </w:t>
            </w:r>
            <w:r w:rsidR="006D51C8" w:rsidRPr="0093154D">
              <w:rPr>
                <w:rFonts w:ascii="Times New Roman" w:eastAsia="Times New Roman" w:hAnsi="Times New Roman" w:cs="Times New Roman"/>
                <w:i/>
                <w:sz w:val="24"/>
                <w:szCs w:val="24"/>
                <w:lang w:val="uk-UA"/>
              </w:rPr>
              <w:t>—</w:t>
            </w:r>
            <w:r w:rsidR="006D51C8" w:rsidRPr="0093154D">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006D51C8" w:rsidRPr="0093154D">
              <w:rPr>
                <w:rFonts w:ascii="Times New Roman" w:eastAsia="Times New Roman" w:hAnsi="Times New Roman" w:cs="Times New Roman"/>
                <w:i/>
                <w:sz w:val="24"/>
                <w:szCs w:val="24"/>
                <w:lang w:val="uk-UA"/>
              </w:rPr>
              <w:t>—</w:t>
            </w:r>
            <w:r w:rsidR="006D51C8" w:rsidRPr="0093154D">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93154D">
              <w:rPr>
                <w:rFonts w:ascii="Times New Roman" w:eastAsia="Times New Roman" w:hAnsi="Times New Roman" w:cs="Times New Roman"/>
                <w:i/>
                <w:color w:val="000000"/>
                <w:sz w:val="24"/>
                <w:szCs w:val="24"/>
                <w:lang w:val="uk-UA"/>
              </w:rPr>
              <w:t>, витяг має містити відповідну інформацію.</w:t>
            </w:r>
            <w:r w:rsidR="00D20CD2" w:rsidRPr="0093154D">
              <w:rPr>
                <w:rFonts w:ascii="Times New Roman" w:eastAsia="Times New Roman" w:hAnsi="Times New Roman" w:cs="Times New Roman"/>
                <w:i/>
                <w:color w:val="000000"/>
                <w:sz w:val="24"/>
                <w:szCs w:val="24"/>
                <w:lang w:val="uk-UA"/>
              </w:rPr>
              <w:t>)</w:t>
            </w:r>
          </w:p>
        </w:tc>
      </w:tr>
      <w:tr w:rsidR="008A6D67" w:rsidRPr="0093154D"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93154D"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93154D">
              <w:rPr>
                <w:rFonts w:ascii="Times New Roman" w:eastAsia="Times New Roman" w:hAnsi="Times New Roman" w:cs="Times New Roman"/>
                <w:b/>
                <w:sz w:val="24"/>
                <w:szCs w:val="24"/>
                <w:lang w:val="uk-UA"/>
              </w:rPr>
              <w:lastRenderedPageBreak/>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93154D"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8" w:name="_Hlk120275081"/>
            <w:r w:rsidRPr="0093154D">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93154D">
                <w:rPr>
                  <w:rFonts w:ascii="Times New Roman" w:eastAsia="Times New Roman" w:hAnsi="Times New Roman" w:cs="Times New Roman"/>
                  <w:sz w:val="24"/>
                  <w:szCs w:val="24"/>
                  <w:lang w:val="uk-UA"/>
                </w:rPr>
                <w:t>Наказом № 794/21</w:t>
              </w:r>
            </w:hyperlink>
            <w:r w:rsidRPr="0093154D">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8"/>
          </w:p>
        </w:tc>
      </w:tr>
      <w:tr w:rsidR="008A6D67" w:rsidRPr="0093154D"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93154D"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9" w:name="_Hlk120275124"/>
            <w:r w:rsidRPr="0093154D">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93154D"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93154D">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93154D">
              <w:rPr>
                <w:rFonts w:ascii="Times New Roman" w:eastAsia="Times New Roman" w:hAnsi="Times New Roman" w:cs="Times New Roman"/>
                <w:color w:val="000000"/>
                <w:sz w:val="24"/>
                <w:szCs w:val="24"/>
                <w:lang w:val="uk-UA" w:eastAsia="ru-RU"/>
              </w:rPr>
              <w:t>Центр обслуговування споживачів (клієнтів)</w:t>
            </w:r>
            <w:r w:rsidRPr="0093154D">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Pr="0093154D">
              <w:rPr>
                <w:rFonts w:ascii="Times New Roman" w:eastAsia="Times New Roman" w:hAnsi="Times New Roman" w:cs="Times New Roman"/>
                <w:color w:val="000000"/>
                <w:sz w:val="24"/>
                <w:szCs w:val="24"/>
                <w:lang w:val="uk-UA" w:eastAsia="ru-RU"/>
              </w:rPr>
              <w:t xml:space="preserve">та кол-центр, який відповідає </w:t>
            </w:r>
            <w:r w:rsidRPr="0093154D">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A6D67" w:rsidRPr="0093154D"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93154D"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93154D">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93154D"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93154D">
              <w:rPr>
                <w:rFonts w:ascii="Times New Roman" w:eastAsia="Times New Roman" w:hAnsi="Times New Roman" w:cs="Times New Roman"/>
                <w:color w:val="000000"/>
                <w:sz w:val="24"/>
                <w:szCs w:val="24"/>
                <w:lang w:val="uk-UA" w:eastAsia="ru-RU"/>
              </w:rPr>
              <w:t>Учасник</w:t>
            </w:r>
            <w:r w:rsidR="006D51C8" w:rsidRPr="0093154D">
              <w:rPr>
                <w:rFonts w:ascii="Times New Roman" w:eastAsia="Times New Roman" w:hAnsi="Times New Roman" w:cs="Times New Roman"/>
                <w:color w:val="000000"/>
                <w:sz w:val="24"/>
                <w:szCs w:val="24"/>
                <w:lang w:val="uk-UA" w:eastAsia="ru-RU"/>
              </w:rPr>
              <w:t>,</w:t>
            </w:r>
            <w:r w:rsidRPr="0093154D">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93154D">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93154D">
              <w:rPr>
                <w:rFonts w:ascii="Times New Roman" w:eastAsia="Times New Roman" w:hAnsi="Times New Roman" w:cs="Times New Roman"/>
                <w:color w:val="000000"/>
                <w:sz w:val="24"/>
                <w:szCs w:val="24"/>
                <w:lang w:val="uk-UA" w:eastAsia="ru-RU"/>
              </w:rPr>
              <w:t>ним обслуговується менше 50 000 споживачів</w:t>
            </w:r>
            <w:r w:rsidRPr="0093154D">
              <w:rPr>
                <w:rFonts w:ascii="Times New Roman" w:eastAsia="Times New Roman" w:hAnsi="Times New Roman" w:cs="Times New Roman"/>
                <w:sz w:val="24"/>
                <w:szCs w:val="24"/>
                <w:lang w:val="uk-UA" w:eastAsia="ru-RU"/>
              </w:rPr>
              <w:t xml:space="preserve">, </w:t>
            </w:r>
            <w:r w:rsidRPr="0093154D">
              <w:rPr>
                <w:rFonts w:ascii="Times New Roman" w:eastAsia="Times New Roman" w:hAnsi="Times New Roman" w:cs="Times New Roman"/>
                <w:color w:val="000000"/>
                <w:sz w:val="24"/>
                <w:szCs w:val="24"/>
                <w:lang w:val="uk-UA" w:eastAsia="ru-RU"/>
              </w:rPr>
              <w:t xml:space="preserve">повинен надати довідки від всіх операторів системи розподілу, з якими учасником укладено договориелектропостачальника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rsidR="008A6D67" w:rsidRPr="0093154D"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93154D">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93154D">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93154D">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93154D">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93154D">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9"/>
      <w:tr w:rsidR="008A6D67" w:rsidRPr="0093154D"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93154D"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93154D">
              <w:rPr>
                <w:rFonts w:ascii="Times New Roman" w:eastAsia="Times New Roman" w:hAnsi="Times New Roman" w:cs="Times New Roman"/>
                <w:b/>
                <w:bCs/>
                <w:color w:val="000000"/>
                <w:sz w:val="24"/>
                <w:szCs w:val="24"/>
                <w:lang w:val="uk-UA" w:eastAsia="ru-RU"/>
              </w:rPr>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93154D"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0" w:name="_Hlk120275180"/>
            <w:r w:rsidRPr="0093154D">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93154D">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93154D">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93154D">
              <w:rPr>
                <w:rFonts w:ascii="Times New Roman" w:eastAsia="Times New Roman" w:hAnsi="Times New Roman" w:cs="Times New Roman"/>
                <w:color w:val="000000"/>
                <w:sz w:val="24"/>
                <w:szCs w:val="24"/>
                <w:lang w:val="uk-UA" w:eastAsia="ru-RU"/>
              </w:rPr>
              <w:t>кінцевої дати подання тендерних пропозицій</w:t>
            </w:r>
            <w:r w:rsidRPr="0093154D">
              <w:rPr>
                <w:rFonts w:ascii="Times New Roman" w:eastAsia="Times New Roman" w:hAnsi="Times New Roman" w:cs="Times New Roman"/>
                <w:sz w:val="24"/>
                <w:szCs w:val="24"/>
                <w:lang w:val="uk-UA"/>
              </w:rPr>
              <w:t>.</w:t>
            </w:r>
          </w:p>
          <w:p w:rsidR="008A6D67" w:rsidRPr="0093154D"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93154D">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93154D">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93154D">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93154D">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0"/>
          </w:p>
        </w:tc>
      </w:tr>
      <w:tr w:rsidR="008A6D67" w:rsidRPr="00C76D49"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93154D"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93154D">
              <w:rPr>
                <w:rFonts w:ascii="Times New Roman" w:eastAsia="Times New Roman" w:hAnsi="Times New Roman" w:cs="Times New Roman"/>
                <w:b/>
                <w:bCs/>
                <w:color w:val="000000"/>
                <w:sz w:val="24"/>
                <w:szCs w:val="24"/>
                <w:lang w:val="uk-UA" w:eastAsia="ru-RU"/>
              </w:rPr>
              <w:lastRenderedPageBreak/>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6D67" w:rsidRPr="0093154D"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1" w:name="_Hlk120275214"/>
            <w:r w:rsidRPr="0093154D">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8A6D67" w:rsidRPr="0093154D"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3154D">
              <w:rPr>
                <w:rFonts w:ascii="Times New Roman" w:eastAsia="Times New Roman" w:hAnsi="Times New Roman" w:cs="Times New Roman"/>
                <w:color w:val="000000"/>
                <w:sz w:val="24"/>
                <w:szCs w:val="24"/>
                <w:lang w:val="uk-UA"/>
              </w:rPr>
              <w:t>Повна назва учасника;</w:t>
            </w:r>
          </w:p>
          <w:p w:rsidR="008A6D67" w:rsidRPr="0093154D"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3154D">
              <w:rPr>
                <w:rFonts w:ascii="Times New Roman" w:eastAsia="Times New Roman" w:hAnsi="Times New Roman" w:cs="Times New Roman"/>
                <w:color w:val="000000"/>
                <w:sz w:val="24"/>
                <w:szCs w:val="24"/>
                <w:lang w:val="uk-UA"/>
              </w:rPr>
              <w:t>Код ЄДРПОУ;</w:t>
            </w:r>
          </w:p>
          <w:p w:rsidR="008A6D67" w:rsidRPr="0093154D"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3154D">
              <w:rPr>
                <w:rFonts w:ascii="Times New Roman" w:eastAsia="Times New Roman" w:hAnsi="Times New Roman" w:cs="Times New Roman"/>
                <w:color w:val="000000"/>
                <w:sz w:val="24"/>
                <w:szCs w:val="24"/>
                <w:lang w:val="uk-UA"/>
              </w:rPr>
              <w:t>Юридична та поштова адреса;</w:t>
            </w:r>
          </w:p>
          <w:p w:rsidR="008A6D67" w:rsidRPr="0093154D"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3154D">
              <w:rPr>
                <w:rFonts w:ascii="Times New Roman" w:eastAsia="Times New Roman" w:hAnsi="Times New Roman" w:cs="Times New Roman"/>
                <w:color w:val="000000"/>
                <w:sz w:val="24"/>
                <w:szCs w:val="24"/>
                <w:lang w:val="uk-UA"/>
              </w:rPr>
              <w:t>Банківські реквізити;</w:t>
            </w:r>
          </w:p>
          <w:p w:rsidR="008A6D67" w:rsidRPr="0093154D"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3154D">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rsidR="008A6D67" w:rsidRPr="0093154D"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3154D">
              <w:rPr>
                <w:rFonts w:ascii="Times New Roman" w:eastAsia="Times New Roman" w:hAnsi="Times New Roman" w:cs="Times New Roman"/>
                <w:color w:val="000000"/>
                <w:sz w:val="24"/>
                <w:szCs w:val="24"/>
                <w:lang w:val="uk-UA"/>
              </w:rPr>
              <w:t>Контактний номер телефону, Е-mail;</w:t>
            </w:r>
          </w:p>
          <w:p w:rsidR="008A6D67" w:rsidRPr="0093154D"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3154D">
              <w:rPr>
                <w:rFonts w:ascii="Times New Roman" w:eastAsia="Times New Roman" w:hAnsi="Times New Roman" w:cs="Times New Roman"/>
                <w:color w:val="000000"/>
                <w:sz w:val="24"/>
                <w:szCs w:val="24"/>
                <w:lang w:val="uk-UA"/>
              </w:rPr>
              <w:t>Відомості про керівника (посада, ПІБ, тел.);</w:t>
            </w:r>
          </w:p>
          <w:p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93154D">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1"/>
          </w:p>
        </w:tc>
      </w:tr>
    </w:tbl>
    <w:p w:rsidR="008A6D67" w:rsidRPr="00C76D49" w:rsidRDefault="008A6D67" w:rsidP="008A6D67">
      <w:pPr>
        <w:spacing w:after="0" w:line="240" w:lineRule="auto"/>
        <w:rPr>
          <w:rFonts w:ascii="Times New Roman" w:eastAsia="Times New Roman" w:hAnsi="Times New Roman" w:cs="Times New Roman"/>
          <w:sz w:val="20"/>
          <w:szCs w:val="20"/>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rsidSect="004F2F1C">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760" w:rsidRDefault="00BE0760" w:rsidP="00997F4F">
      <w:pPr>
        <w:spacing w:after="0" w:line="240" w:lineRule="auto"/>
      </w:pPr>
      <w:r>
        <w:separator/>
      </w:r>
    </w:p>
  </w:endnote>
  <w:endnote w:type="continuationSeparator" w:id="1">
    <w:p w:rsidR="00BE0760" w:rsidRDefault="00BE0760" w:rsidP="00997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760" w:rsidRDefault="00BE0760" w:rsidP="00997F4F">
      <w:pPr>
        <w:spacing w:after="0" w:line="240" w:lineRule="auto"/>
      </w:pPr>
      <w:r>
        <w:separator/>
      </w:r>
    </w:p>
  </w:footnote>
  <w:footnote w:type="continuationSeparator" w:id="1">
    <w:p w:rsidR="00BE0760" w:rsidRDefault="00BE0760" w:rsidP="00997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14338"/>
  </w:hdrShapeDefaults>
  <w:footnotePr>
    <w:footnote w:id="0"/>
    <w:footnote w:id="1"/>
  </w:footnotePr>
  <w:endnotePr>
    <w:endnote w:id="0"/>
    <w:endnote w:id="1"/>
  </w:endnotePr>
  <w:compat/>
  <w:rsids>
    <w:rsidRoot w:val="00F2456C"/>
    <w:rsid w:val="00035B82"/>
    <w:rsid w:val="00093BCF"/>
    <w:rsid w:val="00124A3E"/>
    <w:rsid w:val="00132095"/>
    <w:rsid w:val="0014221B"/>
    <w:rsid w:val="00197FEF"/>
    <w:rsid w:val="00226342"/>
    <w:rsid w:val="0025117B"/>
    <w:rsid w:val="002E589D"/>
    <w:rsid w:val="002E6DC4"/>
    <w:rsid w:val="00364B2A"/>
    <w:rsid w:val="0037112F"/>
    <w:rsid w:val="003B32EA"/>
    <w:rsid w:val="00410817"/>
    <w:rsid w:val="004F2F1C"/>
    <w:rsid w:val="005921C3"/>
    <w:rsid w:val="00596565"/>
    <w:rsid w:val="005E3639"/>
    <w:rsid w:val="005E3FB3"/>
    <w:rsid w:val="006D026C"/>
    <w:rsid w:val="006D51C8"/>
    <w:rsid w:val="007433EA"/>
    <w:rsid w:val="00785EF7"/>
    <w:rsid w:val="008033C9"/>
    <w:rsid w:val="00806FC3"/>
    <w:rsid w:val="0081702A"/>
    <w:rsid w:val="008A6D67"/>
    <w:rsid w:val="008D479B"/>
    <w:rsid w:val="0090798C"/>
    <w:rsid w:val="0093154D"/>
    <w:rsid w:val="00997F4F"/>
    <w:rsid w:val="009A4442"/>
    <w:rsid w:val="00AD3C24"/>
    <w:rsid w:val="00AE2582"/>
    <w:rsid w:val="00B4393F"/>
    <w:rsid w:val="00B81D9F"/>
    <w:rsid w:val="00BE0760"/>
    <w:rsid w:val="00BF1F1C"/>
    <w:rsid w:val="00C147EA"/>
    <w:rsid w:val="00C51A02"/>
    <w:rsid w:val="00C73AEC"/>
    <w:rsid w:val="00C76D49"/>
    <w:rsid w:val="00CC195A"/>
    <w:rsid w:val="00CF2A83"/>
    <w:rsid w:val="00D20CD2"/>
    <w:rsid w:val="00DB42A7"/>
    <w:rsid w:val="00DE37FB"/>
    <w:rsid w:val="00DE5788"/>
    <w:rsid w:val="00DE6298"/>
    <w:rsid w:val="00E602A4"/>
    <w:rsid w:val="00ED7F2B"/>
    <w:rsid w:val="00F2456C"/>
    <w:rsid w:val="00FC69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1C"/>
  </w:style>
  <w:style w:type="paragraph" w:styleId="1">
    <w:name w:val="heading 1"/>
    <w:basedOn w:val="a"/>
    <w:next w:val="a"/>
    <w:uiPriority w:val="9"/>
    <w:qFormat/>
    <w:rsid w:val="004F2F1C"/>
    <w:pPr>
      <w:keepNext/>
      <w:keepLines/>
      <w:spacing w:before="480" w:after="120"/>
      <w:outlineLvl w:val="0"/>
    </w:pPr>
    <w:rPr>
      <w:b/>
      <w:sz w:val="48"/>
      <w:szCs w:val="48"/>
    </w:rPr>
  </w:style>
  <w:style w:type="paragraph" w:styleId="2">
    <w:name w:val="heading 2"/>
    <w:basedOn w:val="a"/>
    <w:next w:val="a"/>
    <w:uiPriority w:val="9"/>
    <w:semiHidden/>
    <w:unhideWhenUsed/>
    <w:qFormat/>
    <w:rsid w:val="004F2F1C"/>
    <w:pPr>
      <w:keepNext/>
      <w:keepLines/>
      <w:spacing w:before="360" w:after="80"/>
      <w:outlineLvl w:val="1"/>
    </w:pPr>
    <w:rPr>
      <w:b/>
      <w:sz w:val="36"/>
      <w:szCs w:val="36"/>
    </w:rPr>
  </w:style>
  <w:style w:type="paragraph" w:styleId="3">
    <w:name w:val="heading 3"/>
    <w:basedOn w:val="a"/>
    <w:next w:val="a"/>
    <w:uiPriority w:val="9"/>
    <w:semiHidden/>
    <w:unhideWhenUsed/>
    <w:qFormat/>
    <w:rsid w:val="004F2F1C"/>
    <w:pPr>
      <w:keepNext/>
      <w:keepLines/>
      <w:spacing w:before="280" w:after="80"/>
      <w:outlineLvl w:val="2"/>
    </w:pPr>
    <w:rPr>
      <w:b/>
      <w:sz w:val="28"/>
      <w:szCs w:val="28"/>
    </w:rPr>
  </w:style>
  <w:style w:type="paragraph" w:styleId="4">
    <w:name w:val="heading 4"/>
    <w:basedOn w:val="a"/>
    <w:next w:val="a"/>
    <w:uiPriority w:val="9"/>
    <w:semiHidden/>
    <w:unhideWhenUsed/>
    <w:qFormat/>
    <w:rsid w:val="004F2F1C"/>
    <w:pPr>
      <w:keepNext/>
      <w:keepLines/>
      <w:spacing w:before="240" w:after="40"/>
      <w:outlineLvl w:val="3"/>
    </w:pPr>
    <w:rPr>
      <w:b/>
      <w:sz w:val="24"/>
      <w:szCs w:val="24"/>
    </w:rPr>
  </w:style>
  <w:style w:type="paragraph" w:styleId="5">
    <w:name w:val="heading 5"/>
    <w:basedOn w:val="a"/>
    <w:next w:val="a"/>
    <w:uiPriority w:val="9"/>
    <w:semiHidden/>
    <w:unhideWhenUsed/>
    <w:qFormat/>
    <w:rsid w:val="004F2F1C"/>
    <w:pPr>
      <w:keepNext/>
      <w:keepLines/>
      <w:spacing w:before="220" w:after="40"/>
      <w:outlineLvl w:val="4"/>
    </w:pPr>
    <w:rPr>
      <w:b/>
    </w:rPr>
  </w:style>
  <w:style w:type="paragraph" w:styleId="6">
    <w:name w:val="heading 6"/>
    <w:basedOn w:val="a"/>
    <w:next w:val="a"/>
    <w:uiPriority w:val="9"/>
    <w:semiHidden/>
    <w:unhideWhenUsed/>
    <w:qFormat/>
    <w:rsid w:val="004F2F1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F2F1C"/>
    <w:tblPr>
      <w:tblCellMar>
        <w:top w:w="0" w:type="dxa"/>
        <w:left w:w="0" w:type="dxa"/>
        <w:bottom w:w="0" w:type="dxa"/>
        <w:right w:w="0" w:type="dxa"/>
      </w:tblCellMar>
    </w:tblPr>
  </w:style>
  <w:style w:type="paragraph" w:styleId="a3">
    <w:name w:val="Title"/>
    <w:basedOn w:val="a"/>
    <w:next w:val="a"/>
    <w:uiPriority w:val="10"/>
    <w:qFormat/>
    <w:rsid w:val="004F2F1C"/>
    <w:pPr>
      <w:keepNext/>
      <w:keepLines/>
      <w:spacing w:before="480" w:after="120"/>
    </w:pPr>
    <w:rPr>
      <w:b/>
      <w:sz w:val="72"/>
      <w:szCs w:val="72"/>
    </w:rPr>
  </w:style>
  <w:style w:type="table" w:customStyle="1" w:styleId="TableNormal0">
    <w:name w:val="Table Normal"/>
    <w:rsid w:val="004F2F1C"/>
    <w:tblPr>
      <w:tblCellMar>
        <w:top w:w="0" w:type="dxa"/>
        <w:left w:w="0" w:type="dxa"/>
        <w:bottom w:w="0" w:type="dxa"/>
        <w:right w:w="0" w:type="dxa"/>
      </w:tblCellMar>
    </w:tbl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rsid w:val="004F2F1C"/>
    <w:pPr>
      <w:keepNext/>
      <w:keepLines/>
      <w:spacing w:before="360" w:after="80"/>
    </w:pPr>
    <w:rPr>
      <w:rFonts w:ascii="Georgia" w:eastAsia="Georgia" w:hAnsi="Georgia" w:cs="Georgia"/>
      <w:i/>
      <w:color w:val="666666"/>
      <w:sz w:val="48"/>
      <w:szCs w:val="48"/>
    </w:rPr>
  </w:style>
  <w:style w:type="table" w:customStyle="1" w:styleId="a9">
    <w:basedOn w:val="TableNormal0"/>
    <w:rsid w:val="004F2F1C"/>
    <w:tblPr>
      <w:tblStyleRowBandSize w:val="1"/>
      <w:tblStyleColBandSize w:val="1"/>
      <w:tblCellMar>
        <w:top w:w="15" w:type="dxa"/>
        <w:left w:w="15" w:type="dxa"/>
        <w:bottom w:w="15" w:type="dxa"/>
        <w:right w:w="15" w:type="dxa"/>
      </w:tblCellMar>
    </w:tblPr>
  </w:style>
  <w:style w:type="table" w:customStyle="1" w:styleId="aa">
    <w:basedOn w:val="TableNormal0"/>
    <w:rsid w:val="004F2F1C"/>
    <w:tblPr>
      <w:tblStyleRowBandSize w:val="1"/>
      <w:tblStyleColBandSize w:val="1"/>
      <w:tblCellMar>
        <w:top w:w="15" w:type="dxa"/>
        <w:left w:w="15" w:type="dxa"/>
        <w:bottom w:w="15" w:type="dxa"/>
        <w:right w:w="15" w:type="dxa"/>
      </w:tblCellMar>
    </w:tblPr>
  </w:style>
  <w:style w:type="table" w:customStyle="1" w:styleId="ab">
    <w:basedOn w:val="TableNormal0"/>
    <w:rsid w:val="004F2F1C"/>
    <w:tblPr>
      <w:tblStyleRowBandSize w:val="1"/>
      <w:tblStyleColBandSize w:val="1"/>
      <w:tblCellMar>
        <w:top w:w="15" w:type="dxa"/>
        <w:left w:w="15" w:type="dxa"/>
        <w:bottom w:w="15" w:type="dxa"/>
        <w:right w:w="15" w:type="dxa"/>
      </w:tblCellMar>
    </w:tblPr>
  </w:style>
  <w:style w:type="table" w:customStyle="1" w:styleId="ac">
    <w:basedOn w:val="TableNormal0"/>
    <w:rsid w:val="004F2F1C"/>
    <w:tblPr>
      <w:tblStyleRowBandSize w:val="1"/>
      <w:tblStyleColBandSize w:val="1"/>
      <w:tblCellMar>
        <w:top w:w="15" w:type="dxa"/>
        <w:left w:w="15" w:type="dxa"/>
        <w:bottom w:w="15" w:type="dxa"/>
        <w:right w:w="15" w:type="dxa"/>
      </w:tblCellMar>
    </w:tblPr>
  </w:style>
  <w:style w:type="table" w:customStyle="1" w:styleId="ad">
    <w:basedOn w:val="TableNormal0"/>
    <w:rsid w:val="004F2F1C"/>
    <w:tblPr>
      <w:tblStyleRowBandSize w:val="1"/>
      <w:tblStyleColBandSize w:val="1"/>
      <w:tblCellMar>
        <w:top w:w="15" w:type="dxa"/>
        <w:left w:w="15" w:type="dxa"/>
        <w:bottom w:w="15" w:type="dxa"/>
        <w:right w:w="15" w:type="dxa"/>
      </w:tblCellMar>
    </w:tblPr>
  </w:style>
  <w:style w:type="table" w:customStyle="1" w:styleId="ae">
    <w:basedOn w:val="TableNormal0"/>
    <w:rsid w:val="004F2F1C"/>
    <w:tblPr>
      <w:tblStyleRowBandSize w:val="1"/>
      <w:tblStyleColBandSize w:val="1"/>
      <w:tblCellMar>
        <w:top w:w="15" w:type="dxa"/>
        <w:left w:w="15" w:type="dxa"/>
        <w:bottom w:w="15" w:type="dxa"/>
        <w:right w:w="15" w:type="dxa"/>
      </w:tblCellMar>
    </w:tblPr>
  </w:style>
  <w:style w:type="table" w:customStyle="1" w:styleId="af">
    <w:basedOn w:val="TableNormal0"/>
    <w:rsid w:val="004F2F1C"/>
    <w:tblPr>
      <w:tblStyleRowBandSize w:val="1"/>
      <w:tblStyleColBandSize w:val="1"/>
      <w:tblCellMar>
        <w:top w:w="15" w:type="dxa"/>
        <w:left w:w="15" w:type="dxa"/>
        <w:bottom w:w="15" w:type="dxa"/>
        <w:right w:w="15" w:type="dxa"/>
      </w:tblCellMar>
    </w:tblPr>
  </w:style>
  <w:style w:type="table" w:customStyle="1" w:styleId="af0">
    <w:basedOn w:val="TableNormal0"/>
    <w:rsid w:val="004F2F1C"/>
    <w:tblPr>
      <w:tblStyleRowBandSize w:val="1"/>
      <w:tblStyleColBandSize w:val="1"/>
      <w:tblCellMar>
        <w:top w:w="15" w:type="dxa"/>
        <w:left w:w="15" w:type="dxa"/>
        <w:bottom w:w="15" w:type="dxa"/>
        <w:right w:w="15" w:type="dxa"/>
      </w:tblCellMar>
    </w:tblPr>
  </w:style>
  <w:style w:type="table" w:customStyle="1" w:styleId="af1">
    <w:basedOn w:val="TableNormal0"/>
    <w:rsid w:val="004F2F1C"/>
    <w:tblPr>
      <w:tblStyleRowBandSize w:val="1"/>
      <w:tblStyleColBandSize w:val="1"/>
      <w:tblCellMar>
        <w:top w:w="15" w:type="dxa"/>
        <w:left w:w="15" w:type="dxa"/>
        <w:bottom w:w="15" w:type="dxa"/>
        <w:right w:w="15" w:type="dxa"/>
      </w:tblCellMar>
    </w:tblPr>
  </w:style>
  <w:style w:type="table" w:customStyle="1" w:styleId="af2">
    <w:basedOn w:val="TableNormal0"/>
    <w:rsid w:val="004F2F1C"/>
    <w:tblPr>
      <w:tblStyleRowBandSize w:val="1"/>
      <w:tblStyleColBandSize w:val="1"/>
      <w:tblCellMar>
        <w:top w:w="15" w:type="dxa"/>
        <w:left w:w="15" w:type="dxa"/>
        <w:bottom w:w="15" w:type="dxa"/>
        <w:right w:w="15" w:type="dxa"/>
      </w:tblCellMar>
    </w:tblPr>
  </w:style>
  <w:style w:type="table" w:customStyle="1" w:styleId="af3">
    <w:basedOn w:val="TableNormal0"/>
    <w:rsid w:val="004F2F1C"/>
    <w:tblPr>
      <w:tblStyleRowBandSize w:val="1"/>
      <w:tblStyleColBandSize w:val="1"/>
      <w:tblCellMar>
        <w:top w:w="15" w:type="dxa"/>
        <w:left w:w="15" w:type="dxa"/>
        <w:bottom w:w="15" w:type="dxa"/>
        <w:right w:w="15" w:type="dxa"/>
      </w:tblCellMar>
    </w:tblPr>
  </w:style>
  <w:style w:type="table" w:customStyle="1" w:styleId="af4">
    <w:basedOn w:val="TableNormal0"/>
    <w:rsid w:val="004F2F1C"/>
    <w:tblPr>
      <w:tblStyleRowBandSize w:val="1"/>
      <w:tblStyleColBandSize w:val="1"/>
      <w:tblCellMar>
        <w:top w:w="15" w:type="dxa"/>
        <w:left w:w="15" w:type="dxa"/>
        <w:bottom w:w="15" w:type="dxa"/>
        <w:right w:w="15" w:type="dxa"/>
      </w:tblCellMar>
    </w:tblPr>
  </w:style>
  <w:style w:type="table" w:customStyle="1" w:styleId="af5">
    <w:basedOn w:val="TableNormal0"/>
    <w:rsid w:val="004F2F1C"/>
    <w:tblPr>
      <w:tblStyleRowBandSize w:val="1"/>
      <w:tblStyleColBandSize w:val="1"/>
      <w:tblCellMar>
        <w:top w:w="15" w:type="dxa"/>
        <w:left w:w="15" w:type="dxa"/>
        <w:bottom w:w="15" w:type="dxa"/>
        <w:right w:w="15" w:type="dxa"/>
      </w:tblCellMar>
    </w:tblPr>
  </w:style>
  <w:style w:type="paragraph" w:styleId="af6">
    <w:name w:val="header"/>
    <w:basedOn w:val="a"/>
    <w:link w:val="af7"/>
    <w:uiPriority w:val="99"/>
    <w:unhideWhenUsed/>
    <w:rsid w:val="00997F4F"/>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997F4F"/>
  </w:style>
  <w:style w:type="paragraph" w:styleId="af8">
    <w:name w:val="footer"/>
    <w:basedOn w:val="a"/>
    <w:link w:val="af9"/>
    <w:uiPriority w:val="99"/>
    <w:unhideWhenUsed/>
    <w:rsid w:val="00997F4F"/>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997F4F"/>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rsid w:val="00C147EA"/>
    <w:rPr>
      <w:rFonts w:ascii="Times New Roman" w:eastAsia="Times New Roman" w:hAnsi="Times New Roman" w:cs="Times New Roman"/>
      <w:sz w:val="24"/>
      <w:szCs w:val="24"/>
    </w:rPr>
  </w:style>
  <w:style w:type="paragraph" w:customStyle="1" w:styleId="rvps2">
    <w:name w:val="rvps2"/>
    <w:basedOn w:val="a"/>
    <w:qFormat/>
    <w:rsid w:val="00C14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C147EA"/>
  </w:style>
  <w:style w:type="character" w:customStyle="1" w:styleId="rvts44">
    <w:name w:val="rvts44"/>
    <w:basedOn w:val="a0"/>
    <w:rsid w:val="00C147EA"/>
  </w:style>
  <w:style w:type="paragraph" w:styleId="afa">
    <w:name w:val="annotation text"/>
    <w:basedOn w:val="a"/>
    <w:link w:val="afb"/>
    <w:uiPriority w:val="99"/>
    <w:unhideWhenUsed/>
    <w:rsid w:val="00C147EA"/>
    <w:pPr>
      <w:spacing w:after="0" w:line="240" w:lineRule="auto"/>
      <w:jc w:val="center"/>
    </w:pPr>
    <w:rPr>
      <w:rFonts w:cs="Times New Roman"/>
      <w:sz w:val="20"/>
      <w:szCs w:val="20"/>
      <w:lang w:val="uk-UA" w:eastAsia="en-US"/>
    </w:rPr>
  </w:style>
  <w:style w:type="character" w:customStyle="1" w:styleId="afb">
    <w:name w:val="Текст примечания Знак"/>
    <w:basedOn w:val="a0"/>
    <w:link w:val="afa"/>
    <w:uiPriority w:val="99"/>
    <w:rsid w:val="00C147EA"/>
    <w:rPr>
      <w:rFonts w:cs="Times New Roman"/>
      <w:sz w:val="20"/>
      <w:szCs w:val="20"/>
      <w:lang w:val="uk-UA"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14392</Words>
  <Characters>8204</Characters>
  <Application>Microsoft Office Word</Application>
  <DocSecurity>0</DocSecurity>
  <Lines>68</Lines>
  <Paragraphs>45</Paragraphs>
  <ScaleCrop>false</ScaleCrop>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2022-12-02T21:15:00Z</dcterms:created>
  <dcterms:modified xsi:type="dcterms:W3CDTF">2022-12-02T21:15:00Z</dcterms:modified>
</cp:coreProperties>
</file>