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9" w:rsidRDefault="00970259" w:rsidP="00DA2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 w:eastAsia="ru-RU"/>
        </w:rPr>
      </w:pPr>
    </w:p>
    <w:p w:rsidR="00E9757F" w:rsidRDefault="00E9757F" w:rsidP="009702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</w:p>
    <w:p w:rsidR="00FC6143" w:rsidRPr="00FC6143" w:rsidRDefault="00FC6143" w:rsidP="00FC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«</w:t>
      </w:r>
      <w:proofErr w:type="spellStart"/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>Проєкт</w:t>
      </w:r>
      <w:proofErr w:type="spellEnd"/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договору про закупівлю»</w:t>
      </w:r>
    </w:p>
    <w:p w:rsidR="00FC6143" w:rsidRPr="00FC6143" w:rsidRDefault="00FC6143" w:rsidP="00FC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Договір про закупівлю № ____</w:t>
      </w:r>
    </w:p>
    <w:p w:rsidR="00FC6143" w:rsidRPr="00FC6143" w:rsidRDefault="00173EC3" w:rsidP="00FC61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м. Ізяслав</w:t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486B2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486B2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486B2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</w:r>
      <w:r w:rsidR="00486B2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ab/>
        <w:t xml:space="preserve">   «_____» ____________ 2024</w:t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року</w:t>
      </w:r>
    </w:p>
    <w:p w:rsidR="00FC6143" w:rsidRPr="00FC6143" w:rsidRDefault="00FC6143" w:rsidP="00FC6143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</w:p>
    <w:p w:rsidR="00FC6143" w:rsidRPr="00FC6143" w:rsidRDefault="002F17CA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>Комунальне некомерційне підприємство «</w:t>
      </w:r>
      <w:proofErr w:type="spellStart"/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>Ізяславська</w:t>
      </w:r>
      <w:proofErr w:type="spellEnd"/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 xml:space="preserve"> міська багатопрофільна лікарня» </w:t>
      </w:r>
      <w:proofErr w:type="spellStart"/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>Ізяславської</w:t>
      </w:r>
      <w:proofErr w:type="spellEnd"/>
      <w:r w:rsidRPr="002F17CA">
        <w:rPr>
          <w:rFonts w:ascii="Times New Roman" w:eastAsia="Calibri" w:hAnsi="Times New Roman" w:cs="Times New Roman"/>
          <w:b/>
          <w:sz w:val="21"/>
          <w:szCs w:val="21"/>
          <w:lang w:val="uk-UA" w:eastAsia="ru-RU"/>
        </w:rPr>
        <w:t xml:space="preserve"> міської ради, в особі директора Агапія Олександра Олександровича, що діє на підставі Статуту</w:t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(далі — </w:t>
      </w:r>
      <w:r w:rsidR="00FC6143"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Замовник</w:t>
      </w:r>
      <w:r w:rsidR="00FC6143"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), з однієї сторони, і </w:t>
      </w:r>
    </w:p>
    <w:p w:rsidR="00A4163B" w:rsidRPr="00486B21" w:rsidRDefault="00FC6143" w:rsidP="00486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_______________,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 особі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________________, який діє на підставі ____________ (далі — </w:t>
      </w: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Постачальник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), з другої сторони, далі разом — Сторони, в порядку та на умовах, що визначені Законом України «Про публічні закупівлі», відповідно до пункту 3</w:t>
      </w:r>
      <w:r w:rsidRPr="00FC6143">
        <w:rPr>
          <w:rFonts w:ascii="Times New Roman" w:eastAsia="Times New Roman" w:hAnsi="Times New Roman" w:cs="Times New Roman"/>
          <w:sz w:val="21"/>
          <w:szCs w:val="21"/>
          <w:vertAlign w:val="superscript"/>
          <w:lang w:val="uk-UA" w:eastAsia="ru-RU"/>
        </w:rPr>
        <w:t>-7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розділу X “Прикінцеві та перехідні положення” Закону України “Про публічні закупівлі”, керуючись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№1178 уклали цей Договір про закупівлю (далі - Договір) про таке: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1. Предмет Договору</w:t>
      </w:r>
    </w:p>
    <w:p w:rsidR="00FC6143" w:rsidRPr="00A4163B" w:rsidRDefault="00FC6143" w:rsidP="00062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1"/>
          <w:szCs w:val="21"/>
          <w:shd w:val="clear" w:color="auto" w:fill="FDFEFD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1.1. Постачальник зобов’язується поставити та передати у власність Замовника </w:t>
      </w:r>
      <w:r w:rsidR="00EE505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товар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: </w:t>
      </w:r>
      <w:r w:rsidR="00346D7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br/>
      </w:r>
      <w:r w:rsidR="001876C6" w:rsidRPr="001876C6">
        <w:rPr>
          <w:rFonts w:ascii="Times New Roman" w:eastAsia="Calibri" w:hAnsi="Times New Roman" w:cs="Times New Roman"/>
          <w:b/>
          <w:bCs/>
          <w:sz w:val="21"/>
          <w:szCs w:val="21"/>
          <w:shd w:val="clear" w:color="auto" w:fill="FDFEFD"/>
          <w:lang w:val="uk-UA" w:eastAsia="ru-RU"/>
        </w:rPr>
        <w:t xml:space="preserve">Підгузки для дорослих: Універсальні, Розмір M, від 6 крапель,  Універсальні, Розмір L, від 6 крапель, Універсальні, Розмір XXL, від 6 крапель </w:t>
      </w:r>
      <w:r w:rsidR="00486750" w:rsidRPr="00486750">
        <w:rPr>
          <w:rFonts w:ascii="Times New Roman" w:eastAsia="Calibri" w:hAnsi="Times New Roman" w:cs="Times New Roman"/>
          <w:b/>
          <w:bCs/>
          <w:sz w:val="21"/>
          <w:szCs w:val="21"/>
          <w:shd w:val="clear" w:color="auto" w:fill="FDFEFD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(далі — Товар), </w:t>
      </w:r>
      <w:r w:rsidR="00A4163B" w:rsidRPr="00A4163B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згідно коду ДК 021:2015 - </w:t>
      </w:r>
      <w:bookmarkStart w:id="0" w:name="_GoBack"/>
      <w:bookmarkEnd w:id="0"/>
      <w:r w:rsidR="001876C6" w:rsidRPr="001876C6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33750000-2 - Засоби для догляду за малюками</w:t>
      </w:r>
      <w:r w:rsidR="0097025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</w:t>
      </w:r>
      <w:r w:rsidR="00A4163B" w:rsidRPr="00A4163B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визначений в асортименті, кількості та за цінами, які зазначені у Специфікації (Додаток № 1 до Договору), а Замовник зобов’язується прийняти Товар та сплатити його вартість у порядку та на умовах, що визначено цим Договором.</w:t>
      </w:r>
    </w:p>
    <w:p w:rsidR="00FC6143" w:rsidRPr="00FC6143" w:rsidRDefault="00FC6143" w:rsidP="00062B0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1"/>
          <w:szCs w:val="21"/>
          <w:lang w:val="uk-UA" w:eastAsia="zh-CN" w:bidi="hi-IN"/>
        </w:rPr>
      </w:pPr>
      <w:r w:rsidRPr="00FC6143">
        <w:rPr>
          <w:rFonts w:ascii="Times New Roman" w:eastAsia="Times New Roman" w:hAnsi="Times New Roman" w:cs="Times New Roman"/>
          <w:kern w:val="3"/>
          <w:sz w:val="21"/>
          <w:szCs w:val="21"/>
          <w:lang w:val="uk-UA" w:eastAsia="zh-CN" w:bidi="hi-IN"/>
        </w:rPr>
        <w:t xml:space="preserve">1.2. Обсяг закупівлі Товару, що є предметом цього Договору, може бути зменшений залежно від </w:t>
      </w:r>
      <w:r w:rsidRPr="00FC6143">
        <w:rPr>
          <w:rFonts w:ascii="Times New Roman" w:eastAsia="SimSun" w:hAnsi="Times New Roman" w:cs="Times New Roman"/>
          <w:kern w:val="3"/>
          <w:sz w:val="21"/>
          <w:szCs w:val="21"/>
          <w:lang w:val="uk-UA" w:eastAsia="zh-CN" w:bidi="hi-IN"/>
        </w:rPr>
        <w:t>фінансових можливостей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та потреб </w:t>
      </w:r>
      <w:r w:rsidRPr="00FC6143">
        <w:rPr>
          <w:rFonts w:ascii="Times New Roman" w:eastAsia="Times New Roman" w:hAnsi="Times New Roman" w:cs="Times New Roman"/>
          <w:kern w:val="3"/>
          <w:sz w:val="21"/>
          <w:szCs w:val="21"/>
          <w:lang w:val="uk-UA" w:eastAsia="zh-CN" w:bidi="hi-IN"/>
        </w:rPr>
        <w:t>Замовника.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1.3. Постачальник гарантує, що Товар, який є предметом Договору  належить йому на праві власності або іншому речовому праві, що надає йому право розпоряджатися Товаром, є новим і не був у використанні,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FC6143" w:rsidRPr="00FC6143" w:rsidRDefault="00FC6143" w:rsidP="00FC6143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Якість та гарантійний строк Товару</w:t>
      </w:r>
    </w:p>
    <w:p w:rsidR="00FC6143" w:rsidRPr="00FC6143" w:rsidRDefault="00FC6143" w:rsidP="00FC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2.1. Постачальник повинен поставити Замовнику новий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2.2. 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Гарантія якості товару діє протягом строку, встановленого виробником товару та вказаного на упаковці Товару.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2.3. Постачальник повинен засвідчити якість Товару, що постачається, належним чином оформленими документами, які надаються разом із Товаром.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Кожна партія товару, під час поставки, супроводжується документами, що підтверджують їх якість (сертифікат відповідності, якості тощо) із зазначенням даних, що вимагаються чинним законодавством України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uk-UA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Постачальник 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надає копії реєстраційного посвідчення на лікарський засіб на кожну окрему партію товару при поставці.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uk-UA"/>
        </w:rPr>
      </w:pP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2.4. 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uk-UA"/>
        </w:rPr>
      </w:pPr>
      <w:r w:rsidRPr="00FC6143">
        <w:rPr>
          <w:rFonts w:ascii="Times New Roman" w:eastAsia="Calibri" w:hAnsi="Times New Roman" w:cs="Times New Roman"/>
          <w:sz w:val="21"/>
          <w:szCs w:val="21"/>
          <w:lang w:val="uk-UA" w:eastAsia="uk-UA"/>
        </w:rPr>
        <w:t>При наявності браку упаковки, порушення цілісності Товарів проводиться заміна якісним Товаром протягом трьох днів. Заміна Товару проводиться за рахунок Постачальника.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2.5. 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Залишковий термін придатності Товару на момент поставки складає </w:t>
      </w:r>
      <w:r w:rsidR="006741CA"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  <w:t>не менше 7</w:t>
      </w:r>
      <w:r w:rsidRPr="00FC6143"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  <w:t>0%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загального терміну його придатності, зазначеного на упаковці.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2.6. Прийняття Замовником неякісного Товару не звільняє Постачальника від зобов’язань поставити якісний Товар, термін поставки при цьому визначається датою поставки якісного Товару.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2.7.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3. Ціна Договору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3.1. Ціна на Товар встановлюється в національній валюті України — гривні.</w:t>
      </w:r>
    </w:p>
    <w:p w:rsidR="00EE505F" w:rsidRPr="00970259" w:rsidRDefault="00FC6143" w:rsidP="0097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lastRenderedPageBreak/>
        <w:t>3.2. Ціна Договору становить _______________</w:t>
      </w:r>
      <w:r w:rsidR="00EE505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_______________________________, за рахунок коштів</w:t>
      </w:r>
      <w:r w:rsidR="0097025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НСЗУ</w:t>
      </w:r>
      <w:r w:rsidR="00EE505F" w:rsidRPr="0097025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C6143" w:rsidRPr="00FC6143" w:rsidRDefault="00FC6143" w:rsidP="00E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3.3. Ціна цього Договору включає: ціну Товару, всі податки, збори та інші обов’язкові платежі, витрати, пов’язані з передпродажною підготовкою та реалізацією Товару Замовнику, всі витрати Постачальника, враховуючи вартість транспортних послуг на доставку Товару до місця поставки, визначеного цим Договором, здійснення вантажно-розвантажувальних послуг при поставці Товару; занос Товару в приміщення; перевірку комплектності, цілісності та відсутності пошкоджень у присутності представників Замовника.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3.4. Ціна Договору може бути зменшеною за взаємною згодою Сторін та згідно з іншими умовами, що передбачені цим Договором. </w:t>
      </w:r>
    </w:p>
    <w:p w:rsidR="00FC6143" w:rsidRPr="00FC6143" w:rsidRDefault="00FC6143" w:rsidP="00FC6143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4. Порядок здійснення оплати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4.1. Розрахунок за поставлену партію Товару здійснюється в розмірі 100 % упродовж</w:t>
      </w:r>
      <w:r w:rsidR="002F17CA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EE505F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5 робочих</w:t>
      </w:r>
      <w:r w:rsidRPr="00FC6143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 xml:space="preserve"> днів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 дати поставки Товару на адресу Замовника на підставі наданого оригіналу </w:t>
      </w:r>
      <w:r w:rsidRPr="00FC6143">
        <w:rPr>
          <w:rFonts w:ascii="Times New Roman" w:eastAsia="Times New Roman" w:hAnsi="Times New Roman" w:cs="Times New Roman"/>
          <w:b/>
          <w:iCs/>
          <w:sz w:val="21"/>
          <w:szCs w:val="21"/>
          <w:lang w:val="uk-UA" w:eastAsia="ru-RU"/>
        </w:rPr>
        <w:t>видаткової накладної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>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4.2.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Постачальника, що вказаний у цьому Договорі.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4.3. Замовник не здійснює оплату за поставлений Товар, та така несплата не є порушенням строку оплати зі сторони Замовника у випадку ненадання Постачальником оригіналу </w:t>
      </w:r>
      <w:r w:rsidRPr="00FC6143"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  <w:t>видаткової накладної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на оплату чи його неналежного оформлення.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4.4. Усі платіжні документи за даним Договором оформлюються з дотриманням усіх вимог чинного законодавства України, що зазвичай ставляться до змісту і форми таких документів.</w:t>
      </w:r>
    </w:p>
    <w:p w:rsidR="00FC6143" w:rsidRPr="00FC6143" w:rsidRDefault="00FC6143" w:rsidP="00FC614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bookmarkStart w:id="1" w:name="_heading=h.1t3h5sf" w:colFirst="0" w:colLast="0"/>
      <w:bookmarkEnd w:id="1"/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5. Поставка Товару</w:t>
      </w:r>
    </w:p>
    <w:p w:rsidR="002F17CA" w:rsidRDefault="00FC6143" w:rsidP="00FC61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val="uk-UA" w:eastAsia="ru-RU"/>
        </w:rPr>
      </w:pPr>
      <w:bookmarkStart w:id="2" w:name="_heading=h.4d34og8" w:colFirst="0" w:colLast="0"/>
      <w:bookmarkEnd w:id="2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5.1. Місце поставки Товару: </w:t>
      </w:r>
      <w:r w:rsidRPr="00FC6143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val="uk-UA" w:eastAsia="ru-RU"/>
        </w:rPr>
        <w:t xml:space="preserve">Україна, </w:t>
      </w:r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30300, </w:t>
      </w:r>
      <w:proofErr w:type="spellStart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>Хмельницька</w:t>
      </w:r>
      <w:proofErr w:type="spellEnd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 обл., м. </w:t>
      </w:r>
      <w:proofErr w:type="spellStart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>Ізяслав</w:t>
      </w:r>
      <w:proofErr w:type="spellEnd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, </w:t>
      </w:r>
      <w:proofErr w:type="spellStart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>вул</w:t>
      </w:r>
      <w:proofErr w:type="spellEnd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. </w:t>
      </w:r>
      <w:proofErr w:type="spellStart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>Хмельницького</w:t>
      </w:r>
      <w:proofErr w:type="spellEnd"/>
      <w:r w:rsidR="002F17CA" w:rsidRPr="002F17CA">
        <w:rPr>
          <w:rFonts w:ascii="Times New Roman" w:eastAsia="Calibri" w:hAnsi="Times New Roman" w:cs="Times New Roman"/>
          <w:b/>
          <w:sz w:val="21"/>
          <w:szCs w:val="21"/>
          <w:shd w:val="clear" w:color="auto" w:fill="FDFEFD"/>
          <w:lang w:eastAsia="ru-RU"/>
        </w:rPr>
        <w:t xml:space="preserve"> Б.,47</w:t>
      </w:r>
    </w:p>
    <w:p w:rsidR="00FC6143" w:rsidRPr="00FC6143" w:rsidRDefault="00FC6143" w:rsidP="00FC61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5.2. Строк поставки Товару: </w:t>
      </w:r>
      <w:r w:rsidR="00971919" w:rsidRPr="009719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 xml:space="preserve">не більше 5 (п’яти) робочих днів з моменту </w:t>
      </w:r>
      <w:proofErr w:type="spellStart"/>
      <w:r w:rsidR="009719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заявки\</w:t>
      </w:r>
      <w:r w:rsidR="00971919" w:rsidRPr="009719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замовлення</w:t>
      </w:r>
      <w:proofErr w:type="spellEnd"/>
      <w:r w:rsidR="00971919" w:rsidRPr="009719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5.3. Поставка Товару здійснюється за адресою Замовника, яка зазначена в Договорі</w:t>
      </w: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та заявці (замовленні) (далі — заявка / замовлення). </w:t>
      </w:r>
    </w:p>
    <w:p w:rsidR="00FC6143" w:rsidRPr="00FC6143" w:rsidRDefault="00FC6143" w:rsidP="00FC61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5.4. Поставка Товару здійснюється окремими партіями згідно з заявкою / замовленням Замовника. Обсяг кожної партії визначається Замовником залежно від фактичної потреби. Партією Товару за Договором вважається поставка Товару в обсязі, що визначений за кожною окремою заявкою Замовника.</w:t>
      </w:r>
    </w:p>
    <w:p w:rsidR="00FC6143" w:rsidRPr="00644CA9" w:rsidRDefault="00FC6143" w:rsidP="00644C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5.5. Заявка на поставку відповідної партії Товару подається Замовником на електронну адресу Постачальника ______________. </w:t>
      </w:r>
      <w:r w:rsid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За взаємною згодою сторін з</w:t>
      </w:r>
      <w:r w:rsidR="00644CA9" w:rsidRP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аявка на поставку відповідної партії Товару </w:t>
      </w:r>
      <w:r w:rsid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може надатися</w:t>
      </w:r>
      <w:r w:rsidR="00644CA9" w:rsidRP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Замовником</w:t>
      </w:r>
      <w:r w:rsidR="00644CA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за номером телефону Постачальника ________________.</w:t>
      </w:r>
    </w:p>
    <w:p w:rsidR="00FC6143" w:rsidRPr="00FC6143" w:rsidRDefault="00FC6143" w:rsidP="00FC61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Постачальника.</w:t>
      </w:r>
    </w:p>
    <w:p w:rsidR="00FC6143" w:rsidRPr="00ED6F64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5.6. Поставка партії Товару повинна здійснюватись Постачальником не пізніше </w:t>
      </w:r>
      <w:r w:rsidR="006741CA" w:rsidRPr="00ED6F64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 xml:space="preserve">5 (п’ятого) </w:t>
      </w:r>
      <w:r w:rsidR="00644CA9" w:rsidRPr="00ED6F64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>календарного</w:t>
      </w:r>
      <w:r w:rsidRPr="00ED6F64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 xml:space="preserve"> дня</w:t>
      </w:r>
      <w:r w:rsidRPr="00ED6F64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 дати одержання відповідної заявки Замовника.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5.7. Товар повинен бути упакованим Постачальником в упаковку, яка відповідає характеру Товару цього виду, таким чином, щоб забезпечити його збереження від пошкоджень або знищення, атмосферних опадів при транспортуванні, зберіганні та здійсненні вантажно-розвантажувальних послуг при поставці. Постачальник несе ризик за пошкодження або знищення Товару до моменту поставки його Замовнику.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5.8. Постачальник зобов’язується одночасно з поставкою кожної партії Товару надати оформлені належним чином документи, що підтверджують їх якість відповідно до вимог Розділу 2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5.9. Датою поставки партії Товару є дата, коли партію Товару було передано у власність Замовника в місці поставки з моменту та на підставі підписаної Сторонами </w:t>
      </w:r>
      <w:r w:rsidRPr="00FC6143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>видаткової накладної.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Товар вважається переданим Замовнику у кількості та якості в місці поставки з моменту та на підставі підписаної Сторонами </w:t>
      </w:r>
      <w:r w:rsidRPr="00FC6143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>видаткової накладної.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5.10. Зобов’язання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</w:t>
      </w:r>
      <w:r w:rsidRPr="00FC6143"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  <w:t>видаткової накладної.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5.11. Право власності на партію Товару переходить від Постачальника до Замовника з моменту підписання Сторонами </w:t>
      </w:r>
      <w:r w:rsidRPr="00FC6143">
        <w:rPr>
          <w:rFonts w:ascii="Times New Roman" w:eastAsia="Times New Roman" w:hAnsi="Times New Roman" w:cs="Times New Roman"/>
          <w:bCs/>
          <w:i/>
          <w:sz w:val="21"/>
          <w:szCs w:val="21"/>
          <w:lang w:val="uk-UA" w:eastAsia="ru-RU"/>
        </w:rPr>
        <w:t>видаткової накладної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та передання Товару Замовнику в місці поставки.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 Права та обов’язки Сторін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6.1. Замовник зобов’язаний: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6.1.1. Своєчасно та в повному обсязі здійснювати розрахунки за поставлений Товар.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6.1.2. Приймати поставлений Товар згідно з </w:t>
      </w:r>
      <w:r w:rsidRPr="00FC6143"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  <w:t>видатковою накладною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>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6.1.3. Оглянути поставлений Товар у день поставки.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bookmarkStart w:id="3" w:name="_heading=h.3rdcrjn" w:colFirst="0" w:colLast="0"/>
      <w:bookmarkEnd w:id="3"/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6.2. Замовник має право:</w:t>
      </w:r>
    </w:p>
    <w:p w:rsidR="00FC6143" w:rsidRPr="00FC6143" w:rsidRDefault="00FC6143" w:rsidP="00FC61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6.2.1. Достроково, в односторонньому порядку, розірвати цей Договір у разі невиконання та / або неналежного виконання зобов’язань Постачальником шляхом направлення офіційного листа про це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lastRenderedPageBreak/>
        <w:t>Постачальнику згідно з адресою, яка зазначена в розділі «15. Місцезнаходження та банківські реквізити Сторін» цього Договору. Офіційний лист про розірвання цього Договору надсилається Постачальнику за 30 (тридцять) днів до бажаної дати розірвання. Цей Договір вважатиметься розірваним з дати, що зазначена в офіційному листі про розірвання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6.2.2. Контролювати поставку Товару у строки, встановлені цим Договором.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6.2.3. Залучати фахівців Замовника або сторонніх експертів для приймання Товару від Постачальника.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6.2.4. Повернути неякісний Товар Постачальнику.</w:t>
      </w:r>
    </w:p>
    <w:p w:rsidR="00FC6143" w:rsidRPr="00FC6143" w:rsidRDefault="00FC6143" w:rsidP="00FC6143">
      <w:pPr>
        <w:tabs>
          <w:tab w:val="left" w:pos="5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6.2.5. Зменшувати обсяг закупівлі Товару та ціну (загальну вартість) цього Договору залежно від 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фінансових можливостей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 а також у випадку зменшення обсягу споживчої потреби Товару. У такому разі Сторони вносять відповідні зміни до цього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6.2.6. Повернути </w:t>
      </w:r>
      <w:r w:rsidRPr="00FC6143">
        <w:rPr>
          <w:rFonts w:ascii="Times New Roman" w:eastAsia="Times New Roman" w:hAnsi="Times New Roman" w:cs="Times New Roman"/>
          <w:bCs/>
          <w:iCs/>
          <w:sz w:val="21"/>
          <w:szCs w:val="21"/>
          <w:lang w:val="uk-UA" w:eastAsia="ru-RU"/>
        </w:rPr>
        <w:t>видаткову накладну</w:t>
      </w:r>
      <w:r w:rsidRPr="00FC6143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Постачальнику без здійснення оплати в разі неналежного оформлення документів, зазначених у розділі 5 цього Договору (відсутність підписів тощо).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4" w:name="_heading=h.26in1rg" w:colFirst="0" w:colLast="0"/>
      <w:bookmarkEnd w:id="4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6.2.7. При виявленні недоліків / дефектів / невідповідності (брак виробничий), у тому числі товарного вигляду, поставленого Товару умовам цього Договору направити Постачальнику претензію (рекламацію) з даними про характер виявленої невідповідності. Під браком виробничим слід розуміти властивість Товару, яка не відповідає вимогам, встановленим для цієї категорії Товару в нормативно-правових актах і нормативних документах, за </w:t>
      </w:r>
      <w:hyperlink r:id="rId9">
        <w:r w:rsidRPr="00FC6143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якістю</w:t>
        </w:r>
      </w:hyperlink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</w:t>
      </w:r>
      <w:hyperlink r:id="rId10">
        <w:r w:rsidRPr="00FC6143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стандартами</w:t>
        </w:r>
      </w:hyperlink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, </w:t>
      </w:r>
      <w:hyperlink r:id="rId11">
        <w:r w:rsidRPr="00FC6143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технічними умовами</w:t>
        </w:r>
      </w:hyperlink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та іншим нормам </w:t>
      </w:r>
      <w:hyperlink r:id="rId12">
        <w:r w:rsidRPr="00FC6143">
          <w:rPr>
            <w:rFonts w:ascii="Times New Roman" w:eastAsia="Times New Roman" w:hAnsi="Times New Roman" w:cs="Times New Roman"/>
            <w:sz w:val="21"/>
            <w:szCs w:val="21"/>
            <w:lang w:val="uk-UA" w:eastAsia="ru-RU"/>
          </w:rPr>
          <w:t>технічної документації</w:t>
        </w:r>
      </w:hyperlink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 умовам цього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6.2.8. Відмовитися від приймання Товару в разі ненадання документів, що підтверджують відповідність якості Товару, що поставляється за цим Договором, вимогам стандартів, технічних умов, інших нормативних актів, що встановлюють вимоги до їх якості, умовам цього Договору, а також документів, необхідних для такого підтвердження згідно з чинним законодавством України.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6.3. Постачальник зобов’язаний: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6.3.1. Забезпечити поставку Товару в терміни, встановлені цим Договором.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6.3.2. Забезпечити відповідність якості Товару встановленим нормам якості на такий Товар.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6.3.3. Надавати разом із Товаром супроводжувальні документи, що підтверджують якість Товару.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6.3.4. Усунути недоліки (дефекти) Товару або замінити неякісний Товар на Товар належної якості в порядку, визначеному розділом 2 цього Договору.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6.4. Постачальник має право: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6.4.1. Своєчасно та в повному обсязі отримати плату за поставлений Товар.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7. Відповідальність Сторін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7.1.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 разі невиконання або неналежного виконання своїх зобов’язань за цим Договором Сторони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несуть відповідальність, передбачену законом та цим Договором.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.2. За порушення Постачальником умов цього Договору щодо якості Товарів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Постачальник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сплачує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Покупцю штраф у розмірі 20 відсотків вартості неякісних Товарів.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Сплата штрафу не звільняє Постачальника від обов’язку замінити неякісні Товари на належні у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випадках, визначених цим Договором.</w:t>
      </w:r>
    </w:p>
    <w:p w:rsidR="005C1DEF" w:rsidRPr="005C1DEF" w:rsidRDefault="005C1DEF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.3. За порушення строків поставки Товарів або недопоставку Товарів Постачальник сплачує</w:t>
      </w:r>
      <w:r w:rsidRPr="005C1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Покупцю пеню в розмірі 0,1 відсотка вартості Товарів, поставку яких </w:t>
      </w:r>
      <w:proofErr w:type="spellStart"/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построчено</w:t>
      </w:r>
      <w:proofErr w:type="spellEnd"/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та/ або</w:t>
      </w:r>
      <w:r w:rsidR="008A60D9"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недопоставлено</w:t>
      </w:r>
      <w:proofErr w:type="spellEnd"/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 за кожний день такого прострочення, а з</w:t>
      </w:r>
      <w:r w:rsidR="008A60D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а прострочення поставки Товарів</w:t>
      </w:r>
      <w:r w:rsidR="008A60D9"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понад тридцять днів Постачальник додатково сплачує штраф у роз</w:t>
      </w:r>
      <w:r w:rsidR="008A60D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мірі 7 (сім) відсотків вартості</w:t>
      </w:r>
      <w:r w:rsidR="008A60D9"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Товарів, поставку яких прострочено.</w:t>
      </w:r>
    </w:p>
    <w:p w:rsidR="005C1DEF" w:rsidRPr="005C1DEF" w:rsidRDefault="008A60D9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.4. У разі порушення Покупцем строків оплати за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цим Договором, Покупець сплачує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Постачальнику пеню в розмірі 0,1 відсотка від суми простроченого платежу за кожн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ий день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прострочення платежу, але не більше подвійної облік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ової ставки Національного банку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України, що діяла у період, за який сплачується пеня.</w:t>
      </w:r>
    </w:p>
    <w:p w:rsidR="005C1DEF" w:rsidRPr="005C1DEF" w:rsidRDefault="008A60D9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.5. Оплата штрафних санкцій не звільняє винну Сторону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від обов’язку виконати всі свої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зобов’язання за цим Договором.</w:t>
      </w:r>
    </w:p>
    <w:p w:rsidR="005C1DEF" w:rsidRPr="005C1DEF" w:rsidRDefault="008A60D9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.6. Одностороння відмова від виконання зобов’язань за договором 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не допускається, крім випадків,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передбачених цим Договором.</w:t>
      </w:r>
    </w:p>
    <w:p w:rsidR="005C1DEF" w:rsidRPr="008A60D9" w:rsidRDefault="008A60D9" w:rsidP="008A6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.7. Постачальник визнає та погоджується, що По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купець залишає за собою право в</w:t>
      </w:r>
      <w:r w:rsidRPr="008A60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C1DEF" w:rsidRPr="005C1DE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односторонньому порядку при розрахунку за поставлений</w:t>
      </w:r>
    </w:p>
    <w:p w:rsidR="00FC6143" w:rsidRPr="00FC6143" w:rsidRDefault="00FC6143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</w:pPr>
      <w:r w:rsidRPr="00FC6143">
        <w:rPr>
          <w:rFonts w:ascii="Times New Roman" w:eastAsia="Calibri" w:hAnsi="Times New Roman" w:cs="Times New Roman"/>
          <w:b/>
          <w:bCs/>
          <w:sz w:val="21"/>
          <w:szCs w:val="21"/>
          <w:lang w:val="uk-UA" w:eastAsia="ru-RU"/>
        </w:rPr>
        <w:t xml:space="preserve">8. Форс-мажорні обставини (обставини непереборної сили) </w:t>
      </w:r>
    </w:p>
    <w:p w:rsidR="005C1DEF" w:rsidRPr="005C1DEF" w:rsidRDefault="00FC6143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8.1.</w:t>
      </w:r>
      <w:bookmarkStart w:id="5" w:name="_heading=h.35nkun2" w:colFirst="0" w:colLast="0"/>
      <w:bookmarkEnd w:id="5"/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Сторони звільняються від відповідальності за нев</w:t>
      </w:r>
      <w:r w:rsid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иконання чи неналежне виконання</w:t>
      </w:r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зобов'язань, передбачених цим Договором, у випадку настання дії обставин неп</w:t>
      </w:r>
      <w:r w:rsid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ереборної сили</w:t>
      </w:r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(</w:t>
      </w:r>
      <w:proofErr w:type="spellStart"/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форс-</w:t>
      </w:r>
      <w:proofErr w:type="spellEnd"/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мажору), які безпосередньо вплинули на можли</w:t>
      </w:r>
      <w:r w:rsid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вість виконання Сторонами своїх</w:t>
      </w:r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зобов’язань по цьому Договору.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8.2. Поняття непереборної сили охоплює надзвичайні події, що б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ули відсутні під час підписання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цього Договору і наступили поза волею і бажанням Сторін, і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настанню яких Сторони не могли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запобігти заходами і засобами, які виправдано очікувати в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даній ситуації від Сторони, яка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зазнала впливу непереборної сили.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lastRenderedPageBreak/>
        <w:t>8.3. Випадками непереборної сили вважаються наступні події: загроза війни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, збройний конфлікт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або серйозна погроза такого конфлікту, включаючи але н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е обмежуючись ворожими атаками,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блокадами, військовим ембарго, дії іноземного ворога,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загальна військова мобілізація,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військові дії, оголошена та неоголошена війна, дії суспільного в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орога, збурення, акти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тероризму, диверсії, піратства, безлади, вторгнення, блокада,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революція, заколот, повстання,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масові заворушення, введення комендантської години, кар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антину, встановленого Кабінетом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Міністрів України, експропріація, примусове вилучення, захо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плення підприємств, реквізиція,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громадська демонстрація, блокада, страйк, аварія, протиправні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дії третіх осіб, пожежа, вибух,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тривалі перерви в роботі транспорту, регламентовані умова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ми відповідних рішень та актами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державних органів влади, закриття морських проток, ембарго,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заборона (обмеження) експорту/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імпорту тощо, а також викликані винятковими погодними умо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вами і стихійним лихом, а саме: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епідемія, сильний шторм, циклон, ураган, торнадо, буреві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й, повінь, нагромадження снігу,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ожеледь, град, заморозки, замерзання моря, проток, портів, п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еревалів, землетрус, блискавка,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пожежа, посуха, просідання і зсув ґрунту, інші стихійні лиха, а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також інші події та обставини,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які знаходяться поза контролем відповідної Сторони.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.4. Сторона, яка зазнала впливу непереборної сили, зобов'яз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ана у термін 3 (три) робочі дні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повідомити іншу Сторону Договору про дію непереборної сили.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.5. У разі нездійснення Стороною, на виконання зобо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в'язань якої вплинули обставини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непереборної сили, повідомлення у строк, передбачений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п. 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.4 Договору, така Сторона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позбавляється права посилатись на наявність таких обставин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, як на 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ідставу звільнення від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відповідальності за порушення договірних зобов'язань.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8.6. Наявність обставин непереборної сили продовжують термін в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иконання договірних зобов'язань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на період часу, що по своїй тривалості відповідає тривалості 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бставин непереборної сили, і на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розумний термін для усунення їх наслідків.</w:t>
      </w:r>
    </w:p>
    <w:p w:rsidR="005C1DEF" w:rsidRPr="005C1DEF" w:rsidRDefault="005C1DEF" w:rsidP="005C1DE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.7. Якщо обставини непереборної сили будуть тривати більше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30 (тридцяти) календарних днів,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Сторони повинні прийняти рішення про доцільність продовж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ення дії Договору. Якщо Сторони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не зможуть прийняти вищевказане рішення, то Сторона,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інша ніж та, яка зазнала впливу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непереборної сили, вправі припинити Договір, письмово повідомивши про це іншу Сторону.</w:t>
      </w:r>
    </w:p>
    <w:p w:rsidR="005C1DEF" w:rsidRPr="008A60D9" w:rsidRDefault="005C1DEF" w:rsidP="008A60D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.8. Дія обставин непереборної сили повинна бути підтверджена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відповідним документом </w:t>
      </w:r>
      <w:proofErr w:type="spellStart"/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Торгово-</w:t>
      </w:r>
      <w:proofErr w:type="spellEnd"/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промислової палати України або іншого компетен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тного органу. Обов’язок надання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підтверджуючих документів лежить на Стороні, яка по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силається на дію обставин форс-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мажору.</w:t>
      </w:r>
    </w:p>
    <w:p w:rsidR="00FC6143" w:rsidRPr="005C1DEF" w:rsidRDefault="00FC6143" w:rsidP="005C1DE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9. Вирішення спорів</w:t>
      </w:r>
    </w:p>
    <w:p w:rsidR="00FC6143" w:rsidRPr="00FC6143" w:rsidRDefault="00FC6143" w:rsidP="00FC614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6" w:name="_heading=h.1ksv4uv" w:colFirst="0" w:colLast="0"/>
      <w:bookmarkEnd w:id="6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9.1. У випадку виникнення спорів або розбіжностей Сторони зобов’язуються вирішувати їх шляхом переговорів та консультацій.</w:t>
      </w:r>
    </w:p>
    <w:p w:rsidR="00FC6143" w:rsidRPr="00FC6143" w:rsidRDefault="00FC6143" w:rsidP="00FC614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7" w:name="_heading=h.44sinio" w:colFirst="0" w:colLast="0"/>
      <w:bookmarkEnd w:id="7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9.2. Усі неврегульовані спори, розбіжності чи вимоги, які виникають з цього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:rsidR="00FC6143" w:rsidRPr="00FC6143" w:rsidRDefault="00FC6143" w:rsidP="00FC6143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10. Оперативно-господарські санкції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10.1. Сторони дійшли взаємної згоди щодо можливості застосування оперативно-господарської санкції, зокрема відмови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10.2. Відмова від встановлення на майбутнє господарських відносин із Стороною, яка порушує зобов’язання, може застосовуватися Замовником до Постачальника за невиконання Постачальником своїх зобов’язань перед Замовником у частині, що стосується: </w:t>
      </w:r>
    </w:p>
    <w:p w:rsidR="00FC6143" w:rsidRPr="00FC6143" w:rsidRDefault="00FC6143" w:rsidP="00FC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якості поставленого Товару;</w:t>
      </w:r>
    </w:p>
    <w:p w:rsidR="00FC6143" w:rsidRPr="00FC6143" w:rsidRDefault="00FC6143" w:rsidP="00FC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розірвання аналогічного за своєю природою Договору з Замовником у разі прострочення строку поставки Товару;</w:t>
      </w:r>
    </w:p>
    <w:p w:rsidR="00FC6143" w:rsidRPr="00FC6143" w:rsidRDefault="00FC6143" w:rsidP="00FC6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розірвання аналогічного за своєю природою Договору з Замовником у разі прострочення строку усунення дефектів.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10.3. У разі порушення Постачальником умов щодо порядку та строків постачання Товару, якості поставленого Товару Замовник має право в будь-який час (як упродовж строку дії цього Договору, так і впродовж одного року після спливу строку дії цього Договору) застосувати до Постачальника оперативно-господарську санкцію у формі відмови від встановлення на майбутнє господарських зв’язків (далі — Санкція).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10.4. Строк дії Санкції визначає Замовник, але він не буде перевищувати 3 (трьох) років з моменту початку її застосування.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Постачальника, зазначену в цьому Договорі, та/або шляхом направлення цінним листом з описом вкладення та повідомленням на поштову адресу Постачальника, передбачену в Договорі.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Усі документи (листи, повідомлення, інша кореспонденція), що будуть відправлені Замовником на адресу Постачальника, вказану в цьому Договорі, вважаються такими, що були відправлені належним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lastRenderedPageBreak/>
        <w:t>чином належному отримувачу до тих пір, поки Постачальник письмово не повідомить Замовника про зміну свого місцезнаходження, поштової адреси, електронної адреси (з доказами про отримання Замовником такого повідомлення).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Уся кореспонденція, що направляється Замовником, вважається отриманою Постачальником не пізніше 14 (чотирнадцяти) днів з моменту її відправки Замовником на адресу Постачальника, зазначену в Договорі.</w:t>
      </w:r>
    </w:p>
    <w:p w:rsidR="00FC6143" w:rsidRPr="00FC6143" w:rsidRDefault="00FC6143" w:rsidP="00FC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11. Порядок змін умов Договору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8" w:name="_heading=h.2jxsxqh" w:colFirst="0" w:colLast="0"/>
      <w:bookmarkEnd w:id="8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11.1. 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(за наявності)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та є невід’ємною частиною Договору.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11.2. Пропозицію щодо внесення змін до Договору може зробити кожна зі Сторін Договору.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11.3. Пропозиція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5C1DEF" w:rsidRPr="005C1DEF" w:rsidRDefault="00FC6143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11.4</w:t>
      </w:r>
      <w:r w:rsidRPr="00FC6143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.  </w:t>
      </w:r>
      <w:r w:rsidR="005C1DEF"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Істотні умови цього Договору не можуть змінюватися після його підписання до виконання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зобов'язань Сторонами в повному обсязі, крім ви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падків, передбачених пунктом 19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Особливостей здійснення публічних закупівель товарів, робіт і послуг для ПОКУПЕЦІВ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передбачених Законом України "Про публічні закупівлі",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на період дії правового режиму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воєнного стану в Україні та протягом 90 днів з дня 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його припинення або скасування,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затверджених постановою Кабінету Міністрів України від 12 жовтня 2022 р. № 1178, а саме: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 покращення якості предмета закупівлі за умови,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що таке покращення не призведе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до збільшення суми, визначеної в договорі про закупівлю;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 продовження строку дії договору про закупівлю та ст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року виконання зобов’язань щодо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передачі товару у разі виникнення документально підтвер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джених об’єктивних обставин, що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спричинили таке продовження, у тому числі обста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вин непереборної сили, затримки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фінансування витрат покупця, за умови, що такі зміни не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призведуть до збільшення суми,</w:t>
      </w:r>
      <w:r w:rsidRPr="005C1DEF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визначеної в договорі про закупівлю;</w:t>
      </w:r>
    </w:p>
    <w:p w:rsidR="005C1DEF" w:rsidRPr="005C1DEF" w:rsidRDefault="005C1DEF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>- погодження зміни ціни в договорі про закупівлю в бік</w:t>
      </w:r>
      <w:r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зменшення (без зміни кількості</w:t>
      </w:r>
      <w:r w:rsidRPr="005C1DEF">
        <w:rPr>
          <w:rFonts w:ascii="Times New Roman" w:eastAsia="Calibri" w:hAnsi="Times New Roman" w:cs="Times New Roman"/>
          <w:sz w:val="21"/>
          <w:szCs w:val="21"/>
          <w:lang w:val="uk-UA" w:eastAsia="ru-RU"/>
        </w:rPr>
        <w:t xml:space="preserve"> (обсягу) та якості товарів).</w:t>
      </w:r>
    </w:p>
    <w:p w:rsidR="00FC6143" w:rsidRPr="00FC6143" w:rsidRDefault="00FC6143" w:rsidP="005C1D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pacing w:val="5"/>
          <w:sz w:val="21"/>
          <w:szCs w:val="21"/>
          <w:lang w:val="uk-UA" w:eastAsia="ru-RU"/>
        </w:rPr>
      </w:pPr>
      <w:r w:rsidRPr="00FC6143">
        <w:rPr>
          <w:rFonts w:ascii="Times New Roman" w:eastAsia="Calibri" w:hAnsi="Times New Roman" w:cs="Times New Roman"/>
          <w:b/>
          <w:bCs/>
          <w:i/>
          <w:iCs/>
          <w:spacing w:val="5"/>
          <w:sz w:val="21"/>
          <w:szCs w:val="21"/>
          <w:lang w:val="uk-UA" w:eastAsia="ru-RU"/>
        </w:rPr>
        <w:t>Ці зміни можуть бути внесені до закінчення терміну дії договору про закупівлю.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11.5.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випадках, встановлених Договором або законом.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12. Строк дії Договору про закупівлю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9" w:name="_heading=h.z337ya" w:colFirst="0" w:colLast="0"/>
      <w:bookmarkEnd w:id="9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12.1. Договір набирає чинності з дня його підписання уповноваженими представниками обох Сторін, скріплюється печатками Сторін 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(за наявності)</w:t>
      </w:r>
      <w:r w:rsidR="00EE505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і діє до 31.12.2024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року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 xml:space="preserve">, 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але в будь-якому разі до повного виконання Сторонами своїх зобов’язань за цим Договором.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12.2. Цей Договір складений українською мовою у двох примірниках, що мають однакову юридичну силу, по одному примірнику для кожної зі Сторін.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13. Інші умови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10" w:name="_heading=h.3j2qqm3" w:colFirst="0" w:colLast="0"/>
      <w:bookmarkEnd w:id="10"/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13.1. Дія Договору припиняється: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за згодою Сторін;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— з інших підстав, передбачених цим Договором та чинним законодавством України.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13.2. Істотними умовами цього Договору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13.3. Усі повідомлення, заяви та претензії, пов’язані з виконанням цього Договору або такі, що випливають з нього, повинні надсилатися Сторонами безпосередньо одна одній за вказаними в цьому Договорі адресами, електронними адресами Сторін.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13.4. Представники Сторін, уповноважені на укладання цього Договору, погодились, що їхні персональні дані, які стали відомі Сторонам у зв’язку з укладанням цього Договору, включаються до баз персональних даних Сторін. Підписуючи цей Договір, уповноважені представники Сторін дають згоду (дозвіл) на обробку їхніх персональних даних з метою підтвердження повноважень на укладання цього Договору, забезпечення виконання цього Договору, а також у випадках та в порядку, передбачених чинним законодавством України.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lastRenderedPageBreak/>
        <w:t>13.5. Кожна Сторона несе повну відповідальність за правильність указаних нею в Договорі реквізитів. Сторони зобов’язуються своєчасно в письмовій формі повідомляти одна одну про зміну поштових, банківських та інших реквізитів упродовж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:rsidR="00FC6143" w:rsidRPr="00EE505F" w:rsidRDefault="00FC6143" w:rsidP="00EE50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13.6. Дострокове розірвання Договору за ініціативою однієї зі Сторін можливе при направленні повідомлення у письмовій формі з бажаною датою розірвання (офіційний лист на адресу Сторони згідно з розділом «15. Місцезнаходження та банківські реквізити Сторін» цього Договору) іншої Сторони не менше ніж за 30 (тридцять) календарних днів. Дострокове розірвання Договору за ініціативою однієї зі Сторін оформляється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</w:t>
      </w:r>
      <w:r w:rsidRPr="00FC6143"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  <w:t>(за наявності)</w:t>
      </w: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</w:t>
      </w:r>
    </w:p>
    <w:p w:rsidR="00FC6143" w:rsidRPr="00FC6143" w:rsidRDefault="00FC6143" w:rsidP="00FC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13.7. У випадках, не передбачених цим Договором, Сторони керуються чинним законодавством України.</w:t>
      </w:r>
    </w:p>
    <w:p w:rsidR="00FC6143" w:rsidRP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14. Додатки до Договору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14.1. Невід’ємною частиною цього Договору є: </w:t>
      </w:r>
    </w:p>
    <w:p w:rsidR="00FC6143" w:rsidRPr="00FC6143" w:rsidRDefault="00FC6143" w:rsidP="00FC6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C614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Додаток № 1: Специфікація.</w:t>
      </w:r>
      <w:r w:rsidR="009145E3" w:rsidRPr="009145E3">
        <w:t xml:space="preserve"> </w:t>
      </w:r>
      <w:r w:rsidR="009145E3" w:rsidRPr="009145E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(заповнюється на етапі підписання договору)</w:t>
      </w:r>
    </w:p>
    <w:p w:rsidR="00FC6143" w:rsidRPr="00FC6143" w:rsidRDefault="00FC6143" w:rsidP="00FC614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</w:p>
    <w:p w:rsidR="00FC6143" w:rsidRDefault="00FC6143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  <w:r w:rsidRPr="00FC6143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15. Місцезнаходження та банківські реквізити Сторін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A60D9" w:rsidTr="008A60D9">
        <w:trPr>
          <w:trHeight w:val="4481"/>
        </w:trPr>
        <w:tc>
          <w:tcPr>
            <w:tcW w:w="4927" w:type="dxa"/>
          </w:tcPr>
          <w:p w:rsidR="008A60D9" w:rsidRDefault="008A60D9" w:rsidP="00FC614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4928" w:type="dxa"/>
          </w:tcPr>
          <w:p w:rsidR="008A60D9" w:rsidRPr="00FC6143" w:rsidRDefault="008A60D9" w:rsidP="008A60D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ЗАМОВНИК</w:t>
            </w:r>
          </w:p>
          <w:p w:rsidR="008A60D9" w:rsidRDefault="008A60D9" w:rsidP="008A60D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Комунальне некомерційне підприємство «</w:t>
            </w:r>
            <w:proofErr w:type="spellStart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Ізяславська</w:t>
            </w:r>
            <w:proofErr w:type="spellEnd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міська багатопрофільна лікарня» </w:t>
            </w:r>
            <w:proofErr w:type="spellStart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Ізяславської</w:t>
            </w:r>
            <w:proofErr w:type="spellEnd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міської ради 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30300, Хмельницька обл., м. Ізяслав, вул. Хмельницького Б.,47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Код ЄДРПОУ 02004309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ІПН 020043022081</w:t>
            </w:r>
          </w:p>
          <w:p w:rsidR="008A60D9" w:rsidRPr="009145E3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Р/</w:t>
            </w:r>
            <w:proofErr w:type="spellStart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р</w:t>
            </w:r>
            <w:proofErr w:type="spellEnd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UA123052990000026003036011427</w:t>
            </w:r>
          </w:p>
          <w:p w:rsidR="008A60D9" w:rsidRPr="009145E3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в АТ КБ «</w:t>
            </w:r>
            <w:proofErr w:type="spellStart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ПриватБанк</w:t>
            </w:r>
            <w:proofErr w:type="spellEnd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»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МФО 305299</w:t>
            </w:r>
          </w:p>
          <w:p w:rsidR="008A60D9" w:rsidRPr="002F17CA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Тел.: (03852)4-21-51</w:t>
            </w:r>
          </w:p>
          <w:p w:rsidR="008A60D9" w:rsidRDefault="008A60D9" w:rsidP="008A60D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e-</w:t>
            </w:r>
            <w:proofErr w:type="spellStart"/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mail</w:t>
            </w:r>
            <w:proofErr w:type="spellEnd"/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: </w:t>
            </w:r>
            <w:hyperlink r:id="rId13" w:history="1">
              <w:r w:rsidRPr="00F61393">
                <w:rPr>
                  <w:rStyle w:val="a5"/>
                  <w:rFonts w:ascii="Times New Roman" w:eastAsia="Calibri" w:hAnsi="Times New Roman" w:cs="Times New Roman"/>
                  <w:sz w:val="21"/>
                  <w:szCs w:val="21"/>
                  <w:lang w:val="uk-UA" w:eastAsia="ru-RU"/>
                </w:rPr>
                <w:t>icrl_iz@ukr.net</w:t>
              </w:r>
            </w:hyperlink>
          </w:p>
          <w:p w:rsidR="008A60D9" w:rsidRPr="00FC6143" w:rsidRDefault="008A60D9" w:rsidP="008A60D9">
            <w:pPr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Директор</w:t>
            </w:r>
          </w:p>
          <w:p w:rsidR="008A60D9" w:rsidRPr="00835858" w:rsidRDefault="008A60D9" w:rsidP="008A60D9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8A60D9" w:rsidRDefault="008A60D9" w:rsidP="008A60D9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835858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___________\Олексан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др АГАПІЙ\</w:t>
            </w:r>
          </w:p>
          <w:p w:rsidR="008A60D9" w:rsidRDefault="008A60D9" w:rsidP="00FC614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</w:tr>
    </w:tbl>
    <w:p w:rsidR="008A60D9" w:rsidRDefault="008A60D9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8A60D9" w:rsidRDefault="008A60D9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8A60D9" w:rsidRDefault="008A60D9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8A60D9" w:rsidRDefault="008A60D9" w:rsidP="00FC6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p w:rsidR="00FC6143" w:rsidRPr="008A60D9" w:rsidRDefault="00FC6143" w:rsidP="00FC6143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FC6143" w:rsidRPr="00A7160E" w:rsidRDefault="00FC6143" w:rsidP="00A7160E">
      <w:pP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sectPr w:rsidR="00FC6143" w:rsidRPr="00A7160E" w:rsidSect="00FC6143">
          <w:footerReference w:type="default" r:id="rId14"/>
          <w:headerReference w:type="first" r:id="rId15"/>
          <w:pgSz w:w="11906" w:h="16838"/>
          <w:pgMar w:top="709" w:right="850" w:bottom="682" w:left="1417" w:header="708" w:footer="708" w:gutter="0"/>
          <w:pgNumType w:start="1"/>
          <w:cols w:space="720"/>
          <w:titlePg/>
        </w:sectPr>
      </w:pPr>
    </w:p>
    <w:p w:rsidR="00EE505F" w:rsidRDefault="00EE505F" w:rsidP="00FC6143">
      <w:pPr>
        <w:tabs>
          <w:tab w:val="left" w:pos="2127"/>
        </w:tabs>
        <w:spacing w:after="0" w:line="240" w:lineRule="auto"/>
        <w:ind w:right="425" w:firstLine="5387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</w:p>
    <w:p w:rsidR="00FC6143" w:rsidRPr="00FC6143" w:rsidRDefault="00FC6143" w:rsidP="00FC6143">
      <w:pPr>
        <w:tabs>
          <w:tab w:val="left" w:pos="2127"/>
        </w:tabs>
        <w:spacing w:after="0" w:line="240" w:lineRule="auto"/>
        <w:ind w:right="425" w:firstLine="5387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C614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Додаток № 1</w:t>
      </w:r>
    </w:p>
    <w:p w:rsidR="00FC6143" w:rsidRPr="00FC6143" w:rsidRDefault="00FC6143" w:rsidP="00FC6143">
      <w:pPr>
        <w:spacing w:after="0" w:line="240" w:lineRule="auto"/>
        <w:ind w:right="425" w:firstLine="5387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 w:rsidRPr="00FC614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до Договору про закупівлю № ___</w:t>
      </w:r>
    </w:p>
    <w:p w:rsidR="00FC6143" w:rsidRPr="00FC6143" w:rsidRDefault="00EE505F" w:rsidP="00FC6143">
      <w:pPr>
        <w:spacing w:after="0" w:line="240" w:lineRule="auto"/>
        <w:ind w:right="425" w:firstLine="5387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>від «___» _____________2024</w:t>
      </w:r>
      <w:r w:rsidR="00FC6143" w:rsidRPr="00FC6143">
        <w:rPr>
          <w:rFonts w:ascii="Times New Roman" w:eastAsia="Calibri" w:hAnsi="Times New Roman" w:cs="Times New Roman"/>
          <w:kern w:val="1"/>
          <w:sz w:val="24"/>
          <w:szCs w:val="24"/>
          <w:lang w:val="uk-UA" w:eastAsia="zh-CN"/>
        </w:rPr>
        <w:t xml:space="preserve"> р.</w:t>
      </w:r>
    </w:p>
    <w:p w:rsidR="00FC6143" w:rsidRPr="00FC6143" w:rsidRDefault="00FC6143" w:rsidP="00FC614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FC614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Специфікація</w:t>
      </w:r>
    </w:p>
    <w:tbl>
      <w:tblPr>
        <w:tblW w:w="11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8"/>
        <w:gridCol w:w="3064"/>
        <w:gridCol w:w="812"/>
        <w:gridCol w:w="1170"/>
        <w:gridCol w:w="990"/>
        <w:gridCol w:w="905"/>
        <w:gridCol w:w="1276"/>
        <w:gridCol w:w="1134"/>
        <w:gridCol w:w="15"/>
        <w:gridCol w:w="1261"/>
      </w:tblGrid>
      <w:tr w:rsidR="001A13C0" w:rsidRPr="00FC6143" w:rsidTr="001A13C0">
        <w:trPr>
          <w:gridAfter w:val="2"/>
          <w:wAfter w:w="1276" w:type="dxa"/>
          <w:trHeight w:val="547"/>
          <w:jc w:val="center"/>
        </w:trPr>
        <w:tc>
          <w:tcPr>
            <w:tcW w:w="562" w:type="dxa"/>
            <w:vAlign w:val="center"/>
            <w:hideMark/>
          </w:tcPr>
          <w:p w:rsidR="001A13C0" w:rsidRPr="00644CA9" w:rsidRDefault="001A13C0" w:rsidP="00FC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№ </w:t>
            </w:r>
            <w:proofErr w:type="spellStart"/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зп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1A13C0" w:rsidRPr="00644CA9" w:rsidRDefault="001A13C0" w:rsidP="00FC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Найменування товару</w:t>
            </w:r>
          </w:p>
          <w:p w:rsidR="001A13C0" w:rsidRPr="00644CA9" w:rsidRDefault="001A13C0" w:rsidP="00FC6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12" w:type="dxa"/>
            <w:vAlign w:val="center"/>
            <w:hideMark/>
          </w:tcPr>
          <w:p w:rsidR="001A13C0" w:rsidRPr="00644CA9" w:rsidRDefault="001A13C0" w:rsidP="00E507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Од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>.</w:t>
            </w:r>
            <w:r w:rsidRPr="00644CA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виміру</w:t>
            </w:r>
          </w:p>
        </w:tc>
        <w:tc>
          <w:tcPr>
            <w:tcW w:w="1170" w:type="dxa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A13C0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Виробник, країна походження</w:t>
            </w:r>
          </w:p>
        </w:tc>
        <w:tc>
          <w:tcPr>
            <w:tcW w:w="990" w:type="dxa"/>
            <w:vAlign w:val="center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905" w:type="dxa"/>
            <w:vAlign w:val="center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Ціна</w:t>
            </w:r>
          </w:p>
          <w:p w:rsidR="001A13C0" w:rsidRPr="00644CA9" w:rsidRDefault="001A13C0" w:rsidP="00644CA9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 xml:space="preserve"> за од. товару, грн., без ПДВ</w:t>
            </w:r>
          </w:p>
        </w:tc>
        <w:tc>
          <w:tcPr>
            <w:tcW w:w="1276" w:type="dxa"/>
            <w:vAlign w:val="center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Ціна</w:t>
            </w:r>
          </w:p>
          <w:p w:rsidR="001A13C0" w:rsidRPr="00644CA9" w:rsidRDefault="001A13C0" w:rsidP="00644CA9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 xml:space="preserve"> за од. товару, грн., з ПДВ</w:t>
            </w:r>
          </w:p>
        </w:tc>
        <w:tc>
          <w:tcPr>
            <w:tcW w:w="1134" w:type="dxa"/>
            <w:vAlign w:val="center"/>
          </w:tcPr>
          <w:p w:rsidR="001A13C0" w:rsidRPr="00644CA9" w:rsidRDefault="001A13C0" w:rsidP="00FC6143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44CA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 w:eastAsia="ru-RU"/>
              </w:rPr>
              <w:t>Загальна вартість, грн., з ПДВ</w:t>
            </w:r>
          </w:p>
        </w:tc>
      </w:tr>
      <w:tr w:rsidR="001A13C0" w:rsidRPr="00FC6143" w:rsidTr="001A13C0">
        <w:trPr>
          <w:gridAfter w:val="2"/>
          <w:wAfter w:w="1276" w:type="dxa"/>
          <w:trHeight w:val="404"/>
          <w:jc w:val="center"/>
        </w:trPr>
        <w:tc>
          <w:tcPr>
            <w:tcW w:w="562" w:type="dxa"/>
            <w:vAlign w:val="center"/>
            <w:hideMark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2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70" w:type="dxa"/>
          </w:tcPr>
          <w:p w:rsidR="001A13C0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905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C0" w:rsidRPr="00FC6143" w:rsidRDefault="001A13C0" w:rsidP="00FC614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8</w:t>
            </w:r>
          </w:p>
        </w:tc>
      </w:tr>
      <w:tr w:rsidR="001A13C0" w:rsidRPr="0019379D" w:rsidTr="001A13C0">
        <w:trPr>
          <w:gridAfter w:val="2"/>
          <w:wAfter w:w="1276" w:type="dxa"/>
          <w:trHeight w:val="449"/>
          <w:jc w:val="center"/>
        </w:trPr>
        <w:tc>
          <w:tcPr>
            <w:tcW w:w="562" w:type="dxa"/>
            <w:noWrap/>
            <w:vAlign w:val="center"/>
            <w:hideMark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A13C0" w:rsidRPr="00E1712B" w:rsidRDefault="001A13C0" w:rsidP="00CF1C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  <w:noWrap/>
            <w:vAlign w:val="center"/>
          </w:tcPr>
          <w:p w:rsidR="00E1712B" w:rsidRPr="00E1712B" w:rsidRDefault="00E1712B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70" w:type="dxa"/>
          </w:tcPr>
          <w:p w:rsidR="001A13C0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0" w:type="dxa"/>
            <w:vAlign w:val="center"/>
          </w:tcPr>
          <w:p w:rsidR="00E1712B" w:rsidRPr="00E10D2D" w:rsidRDefault="00E1712B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5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C1606" w:rsidRPr="0019379D" w:rsidTr="001A13C0">
        <w:trPr>
          <w:gridAfter w:val="2"/>
          <w:wAfter w:w="1276" w:type="dxa"/>
          <w:trHeight w:val="449"/>
          <w:jc w:val="center"/>
        </w:trPr>
        <w:tc>
          <w:tcPr>
            <w:tcW w:w="562" w:type="dxa"/>
            <w:noWrap/>
            <w:vAlign w:val="center"/>
          </w:tcPr>
          <w:p w:rsidR="000C1606" w:rsidRPr="00B01D9B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C1606" w:rsidRPr="00E10D2D" w:rsidRDefault="000C1606" w:rsidP="00CF1C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  <w:noWrap/>
            <w:vAlign w:val="center"/>
          </w:tcPr>
          <w:p w:rsidR="000C1606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70" w:type="dxa"/>
          </w:tcPr>
          <w:p w:rsidR="000C1606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0" w:type="dxa"/>
            <w:vAlign w:val="center"/>
          </w:tcPr>
          <w:p w:rsidR="000C1606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5" w:type="dxa"/>
            <w:vAlign w:val="center"/>
          </w:tcPr>
          <w:p w:rsidR="000C1606" w:rsidRPr="00FC6143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0C1606" w:rsidRPr="00FC6143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0C1606" w:rsidRPr="00FC6143" w:rsidRDefault="000C1606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13C0" w:rsidRPr="00FC6143" w:rsidTr="001A13C0">
        <w:trPr>
          <w:trHeight w:val="160"/>
          <w:jc w:val="center"/>
        </w:trPr>
        <w:tc>
          <w:tcPr>
            <w:tcW w:w="900" w:type="dxa"/>
            <w:gridSpan w:val="2"/>
          </w:tcPr>
          <w:p w:rsidR="001A13C0" w:rsidRPr="00FC6143" w:rsidRDefault="001A13C0" w:rsidP="00FC6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366" w:type="dxa"/>
            <w:gridSpan w:val="8"/>
            <w:vAlign w:val="center"/>
          </w:tcPr>
          <w:p w:rsidR="001A13C0" w:rsidRPr="00FC6143" w:rsidRDefault="001A13C0" w:rsidP="00FC61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Загальна вартість пропозиції грн., без ПДВ*:</w:t>
            </w:r>
          </w:p>
        </w:tc>
        <w:tc>
          <w:tcPr>
            <w:tcW w:w="1261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13C0" w:rsidRPr="00FC6143" w:rsidTr="001A13C0">
        <w:trPr>
          <w:trHeight w:val="294"/>
          <w:jc w:val="center"/>
        </w:trPr>
        <w:tc>
          <w:tcPr>
            <w:tcW w:w="900" w:type="dxa"/>
            <w:gridSpan w:val="2"/>
          </w:tcPr>
          <w:p w:rsidR="001A13C0" w:rsidRPr="00FC6143" w:rsidRDefault="001A13C0" w:rsidP="00FC6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366" w:type="dxa"/>
            <w:gridSpan w:val="8"/>
            <w:vAlign w:val="center"/>
          </w:tcPr>
          <w:p w:rsidR="001A13C0" w:rsidRPr="00FC6143" w:rsidRDefault="001A13C0" w:rsidP="00FC61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ПДВ, </w:t>
            </w:r>
            <w:proofErr w:type="spellStart"/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грн</w:t>
            </w:r>
            <w:proofErr w:type="spellEnd"/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1261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13C0" w:rsidRPr="00FC6143" w:rsidTr="001A13C0">
        <w:trPr>
          <w:trHeight w:val="258"/>
          <w:jc w:val="center"/>
        </w:trPr>
        <w:tc>
          <w:tcPr>
            <w:tcW w:w="900" w:type="dxa"/>
            <w:gridSpan w:val="2"/>
          </w:tcPr>
          <w:p w:rsidR="001A13C0" w:rsidRPr="00FC6143" w:rsidRDefault="001A13C0" w:rsidP="00FC61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9366" w:type="dxa"/>
            <w:gridSpan w:val="8"/>
            <w:vAlign w:val="center"/>
          </w:tcPr>
          <w:p w:rsidR="001A13C0" w:rsidRPr="00FC6143" w:rsidRDefault="001A13C0" w:rsidP="00FC61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Загальна вартість пропозиції грн., з ПДВ:</w:t>
            </w:r>
          </w:p>
        </w:tc>
        <w:tc>
          <w:tcPr>
            <w:tcW w:w="1261" w:type="dxa"/>
            <w:vAlign w:val="center"/>
          </w:tcPr>
          <w:p w:rsidR="001A13C0" w:rsidRPr="00FC6143" w:rsidRDefault="001A13C0" w:rsidP="00FC61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1A13C0" w:rsidRPr="00FC6143" w:rsidTr="001A13C0">
        <w:trPr>
          <w:trHeight w:val="258"/>
          <w:jc w:val="center"/>
        </w:trPr>
        <w:tc>
          <w:tcPr>
            <w:tcW w:w="900" w:type="dxa"/>
            <w:gridSpan w:val="2"/>
          </w:tcPr>
          <w:p w:rsidR="001A13C0" w:rsidRDefault="001A13C0" w:rsidP="00FC6143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27" w:type="dxa"/>
            <w:gridSpan w:val="9"/>
            <w:vAlign w:val="center"/>
          </w:tcPr>
          <w:p w:rsidR="001A13C0" w:rsidRPr="00FC6143" w:rsidRDefault="001A13C0" w:rsidP="00FC6143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ru-RU"/>
              </w:rPr>
              <w:t xml:space="preserve">Всього: </w:t>
            </w:r>
          </w:p>
        </w:tc>
      </w:tr>
      <w:tr w:rsidR="001A13C0" w:rsidRPr="00FC6143" w:rsidTr="001A13C0">
        <w:tblPrEx>
          <w:tblLook w:val="0600" w:firstRow="0" w:lastRow="0" w:firstColumn="0" w:lastColumn="0" w:noHBand="1" w:noVBand="1"/>
        </w:tblPrEx>
        <w:trPr>
          <w:trHeight w:val="2318"/>
          <w:jc w:val="center"/>
        </w:trPr>
        <w:tc>
          <w:tcPr>
            <w:tcW w:w="900" w:type="dxa"/>
            <w:gridSpan w:val="2"/>
          </w:tcPr>
          <w:p w:rsidR="001A13C0" w:rsidRPr="00830B05" w:rsidRDefault="001A13C0" w:rsidP="001B03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60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3C0" w:rsidRPr="00830B05" w:rsidRDefault="001A13C0" w:rsidP="001B03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830B0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ПОСТАЧАЛЬНИК</w:t>
            </w:r>
          </w:p>
          <w:p w:rsidR="001A13C0" w:rsidRPr="00FC6143" w:rsidRDefault="001A13C0" w:rsidP="001B036D">
            <w:pPr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5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3C0" w:rsidRPr="00FC6143" w:rsidRDefault="001A13C0" w:rsidP="001B03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FC61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ЗАМОВНИК</w:t>
            </w:r>
          </w:p>
          <w:p w:rsidR="001A13C0" w:rsidRDefault="001A13C0" w:rsidP="001B036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Комунальне некомерційне підприємство «</w:t>
            </w:r>
            <w:proofErr w:type="spellStart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Ізяславська</w:t>
            </w:r>
            <w:proofErr w:type="spellEnd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міська багатопрофільна лікарня» </w:t>
            </w:r>
            <w:proofErr w:type="spellStart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>Ізяславської</w:t>
            </w:r>
            <w:proofErr w:type="spellEnd"/>
            <w:r w:rsidRPr="002F17C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міської ради </w:t>
            </w:r>
          </w:p>
          <w:p w:rsidR="001A13C0" w:rsidRPr="002F17CA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30300, Хмельницька обл., м. Ізяслав, вул. Хмельницького Б.,47</w:t>
            </w:r>
          </w:p>
          <w:p w:rsidR="001A13C0" w:rsidRPr="002F17CA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Код ЄДРПОУ 02004309</w:t>
            </w:r>
          </w:p>
          <w:p w:rsidR="001A13C0" w:rsidRPr="002F17CA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ІПН 020043022081</w:t>
            </w:r>
          </w:p>
          <w:p w:rsidR="001A13C0" w:rsidRPr="009145E3" w:rsidRDefault="001A13C0" w:rsidP="009145E3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Р/</w:t>
            </w:r>
            <w:proofErr w:type="spellStart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р</w:t>
            </w:r>
            <w:proofErr w:type="spellEnd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UA123052990000026003036011427</w:t>
            </w:r>
          </w:p>
          <w:p w:rsidR="001A13C0" w:rsidRPr="009145E3" w:rsidRDefault="001A13C0" w:rsidP="009145E3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в АТ КБ «</w:t>
            </w:r>
            <w:proofErr w:type="spellStart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ПриватБанк</w:t>
            </w:r>
            <w:proofErr w:type="spellEnd"/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»</w:t>
            </w:r>
          </w:p>
          <w:p w:rsidR="001A13C0" w:rsidRPr="002F17CA" w:rsidRDefault="001A13C0" w:rsidP="009145E3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9145E3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МФО 305299</w:t>
            </w:r>
          </w:p>
          <w:p w:rsidR="001A13C0" w:rsidRPr="002F17CA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Тел.: (03852)4-21-51</w:t>
            </w:r>
          </w:p>
          <w:p w:rsidR="001A13C0" w:rsidRDefault="001A13C0" w:rsidP="001B036D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e-</w:t>
            </w:r>
            <w:proofErr w:type="spellStart"/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mail</w:t>
            </w:r>
            <w:proofErr w:type="spellEnd"/>
            <w:r w:rsidRPr="002F17CA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: </w:t>
            </w:r>
            <w:hyperlink r:id="rId16" w:history="1">
              <w:r w:rsidRPr="00F61393">
                <w:rPr>
                  <w:rStyle w:val="a5"/>
                  <w:rFonts w:ascii="Times New Roman" w:eastAsia="Calibri" w:hAnsi="Times New Roman" w:cs="Times New Roman"/>
                  <w:sz w:val="21"/>
                  <w:szCs w:val="21"/>
                  <w:lang w:val="uk-UA" w:eastAsia="ru-RU"/>
                </w:rPr>
                <w:t>icrl_iz@ukr.net</w:t>
              </w:r>
            </w:hyperlink>
          </w:p>
          <w:p w:rsidR="001A13C0" w:rsidRPr="00FC6143" w:rsidRDefault="001A13C0" w:rsidP="001B036D">
            <w:pPr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Директор</w:t>
            </w:r>
          </w:p>
          <w:p w:rsidR="001A13C0" w:rsidRPr="00835858" w:rsidRDefault="001A13C0" w:rsidP="001B036D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1A13C0" w:rsidRDefault="001A13C0" w:rsidP="001B036D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835858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___________\Олексан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др АГАПІЙ\</w:t>
            </w:r>
          </w:p>
          <w:p w:rsidR="001A13C0" w:rsidRPr="00FC6143" w:rsidRDefault="001A13C0" w:rsidP="001B03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</w:tr>
    </w:tbl>
    <w:p w:rsidR="008A2C87" w:rsidRDefault="008A2C87" w:rsidP="00FC6143"/>
    <w:sectPr w:rsidR="008A2C87" w:rsidSect="0064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AB" w:rsidRDefault="00D811AB">
      <w:pPr>
        <w:spacing w:after="0" w:line="240" w:lineRule="auto"/>
      </w:pPr>
      <w:r>
        <w:separator/>
      </w:r>
    </w:p>
  </w:endnote>
  <w:endnote w:type="continuationSeparator" w:id="0">
    <w:p w:rsidR="00D811AB" w:rsidRDefault="00D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801701"/>
      <w:docPartObj>
        <w:docPartGallery w:val="Page Numbers (Bottom of Page)"/>
        <w:docPartUnique/>
      </w:docPartObj>
    </w:sdtPr>
    <w:sdtEndPr/>
    <w:sdtContent>
      <w:p w:rsidR="009748F7" w:rsidRDefault="00FE72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6C6" w:rsidRPr="001876C6">
          <w:rPr>
            <w:noProof/>
            <w:lang w:val="ru-RU"/>
          </w:rPr>
          <w:t>2</w:t>
        </w:r>
        <w:r>
          <w:fldChar w:fldCharType="end"/>
        </w:r>
      </w:p>
    </w:sdtContent>
  </w:sdt>
  <w:p w:rsidR="009748F7" w:rsidRDefault="00D811A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AB" w:rsidRDefault="00D811AB">
      <w:pPr>
        <w:spacing w:after="0" w:line="240" w:lineRule="auto"/>
      </w:pPr>
      <w:r>
        <w:separator/>
      </w:r>
    </w:p>
  </w:footnote>
  <w:footnote w:type="continuationSeparator" w:id="0">
    <w:p w:rsidR="00D811AB" w:rsidRDefault="00D8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F7" w:rsidRDefault="00D811A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64F"/>
    <w:multiLevelType w:val="multilevel"/>
    <w:tmpl w:val="EAB82222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43"/>
    <w:rsid w:val="000141D8"/>
    <w:rsid w:val="0002776B"/>
    <w:rsid w:val="00062B02"/>
    <w:rsid w:val="00062EC4"/>
    <w:rsid w:val="000C1606"/>
    <w:rsid w:val="000E7F5B"/>
    <w:rsid w:val="00173EC3"/>
    <w:rsid w:val="001876C6"/>
    <w:rsid w:val="0019379D"/>
    <w:rsid w:val="001A13C0"/>
    <w:rsid w:val="001C4EEA"/>
    <w:rsid w:val="001E0C9D"/>
    <w:rsid w:val="001F663E"/>
    <w:rsid w:val="00217C0A"/>
    <w:rsid w:val="002F17CA"/>
    <w:rsid w:val="002F6CB3"/>
    <w:rsid w:val="00346D73"/>
    <w:rsid w:val="0039079C"/>
    <w:rsid w:val="00405F55"/>
    <w:rsid w:val="00486750"/>
    <w:rsid w:val="00486B21"/>
    <w:rsid w:val="004E2D76"/>
    <w:rsid w:val="004F1690"/>
    <w:rsid w:val="004F248E"/>
    <w:rsid w:val="00530B90"/>
    <w:rsid w:val="00566E80"/>
    <w:rsid w:val="005B4E19"/>
    <w:rsid w:val="005C1DEF"/>
    <w:rsid w:val="0064469D"/>
    <w:rsid w:val="00644CA9"/>
    <w:rsid w:val="006741CA"/>
    <w:rsid w:val="006C0C98"/>
    <w:rsid w:val="006E71B6"/>
    <w:rsid w:val="007702D1"/>
    <w:rsid w:val="00814714"/>
    <w:rsid w:val="00830CB7"/>
    <w:rsid w:val="00890AC9"/>
    <w:rsid w:val="008A0093"/>
    <w:rsid w:val="008A2C87"/>
    <w:rsid w:val="008A60D9"/>
    <w:rsid w:val="00905DB9"/>
    <w:rsid w:val="009145E3"/>
    <w:rsid w:val="0094592F"/>
    <w:rsid w:val="00970259"/>
    <w:rsid w:val="00971919"/>
    <w:rsid w:val="00990014"/>
    <w:rsid w:val="0099361A"/>
    <w:rsid w:val="009E6C70"/>
    <w:rsid w:val="009F63A0"/>
    <w:rsid w:val="00A4163B"/>
    <w:rsid w:val="00A63478"/>
    <w:rsid w:val="00A7160E"/>
    <w:rsid w:val="00AA39B4"/>
    <w:rsid w:val="00B01D9B"/>
    <w:rsid w:val="00B80883"/>
    <w:rsid w:val="00BE6CFA"/>
    <w:rsid w:val="00C12C68"/>
    <w:rsid w:val="00D075C1"/>
    <w:rsid w:val="00D5551C"/>
    <w:rsid w:val="00D811AB"/>
    <w:rsid w:val="00DA2D15"/>
    <w:rsid w:val="00DB1701"/>
    <w:rsid w:val="00E10D2D"/>
    <w:rsid w:val="00E1712B"/>
    <w:rsid w:val="00E507CF"/>
    <w:rsid w:val="00E9320C"/>
    <w:rsid w:val="00E9757F"/>
    <w:rsid w:val="00EB4D4A"/>
    <w:rsid w:val="00ED6F64"/>
    <w:rsid w:val="00EE25A6"/>
    <w:rsid w:val="00EE505F"/>
    <w:rsid w:val="00F14CDD"/>
    <w:rsid w:val="00F45611"/>
    <w:rsid w:val="00FC6143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1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6143"/>
    <w:rPr>
      <w:rFonts w:ascii="Calibri" w:eastAsia="Calibri" w:hAnsi="Calibri" w:cs="Calibri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C6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644CA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6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A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1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6143"/>
    <w:rPr>
      <w:rFonts w:ascii="Calibri" w:eastAsia="Calibri" w:hAnsi="Calibri" w:cs="Calibri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C6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644CA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6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A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crl_iz@ukr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A2%D0%B5%D1%85%D0%BD%D1%96%D1%87%D0%BD%D0%B0_%D0%B4%D0%BE%D0%BA%D1%83%D0%BC%D0%B5%D0%BD%D1%82%D0%B0%D1%86%D1%96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crl_iz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A2%D0%B5%D1%85%D0%BD%D1%96%D1%87%D0%BD%D1%96_%D1%83%D0%BC%D0%BE%D0%B2%D0%B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k.wikipedia.org/wiki/%D0%A1%D1%82%D0%B0%D0%BD%D0%B4%D0%B0%D1%80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F%D0%BA%D1%96%D1%81%D1%82%D1%8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CD13-BFE1-4354-B2A5-A95E4D4A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2024-03-26T08:49:00Z</cp:lastPrinted>
  <dcterms:created xsi:type="dcterms:W3CDTF">2024-04-05T05:44:00Z</dcterms:created>
  <dcterms:modified xsi:type="dcterms:W3CDTF">2024-04-05T05:44:00Z</dcterms:modified>
</cp:coreProperties>
</file>