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046B1C">
        <w:rPr>
          <w:b/>
          <w:sz w:val="22"/>
          <w:szCs w:val="22"/>
        </w:rPr>
        <w:t>робіт</w:t>
      </w:r>
      <w:r w:rsidR="001C416F">
        <w:rPr>
          <w:b/>
          <w:sz w:val="22"/>
          <w:szCs w:val="22"/>
        </w:rPr>
        <w:t xml:space="preserve"> </w:t>
      </w:r>
      <w:r w:rsidR="004B4A62" w:rsidRPr="004B4A62">
        <w:rPr>
          <w:b/>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(ДК 021:2015 : 45000000-7 — Будівельні роботи та поточний ремонт)</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046B1C">
              <w:rPr>
                <w:b/>
                <w:color w:val="000000"/>
                <w:sz w:val="22"/>
                <w:szCs w:val="22"/>
              </w:rPr>
              <w:t>2</w:t>
            </w:r>
            <w:r w:rsidR="004D3917">
              <w:rPr>
                <w:b/>
                <w:color w:val="000000"/>
                <w:sz w:val="22"/>
                <w:szCs w:val="22"/>
              </w:rPr>
              <w:t>9</w:t>
            </w:r>
            <w:r w:rsidRPr="00B871AA">
              <w:rPr>
                <w:b/>
                <w:color w:val="000000"/>
                <w:sz w:val="22"/>
                <w:szCs w:val="22"/>
              </w:rPr>
              <w:t>.</w:t>
            </w:r>
            <w:r w:rsidR="00670560">
              <w:rPr>
                <w:b/>
                <w:color w:val="000000"/>
                <w:sz w:val="22"/>
                <w:szCs w:val="22"/>
              </w:rPr>
              <w:t>0</w:t>
            </w:r>
            <w:r w:rsidR="009B533C">
              <w:rPr>
                <w:b/>
                <w:color w:val="000000"/>
                <w:sz w:val="22"/>
                <w:szCs w:val="22"/>
              </w:rPr>
              <w:t>8</w:t>
            </w:r>
            <w:r w:rsidRPr="00B871AA">
              <w:rPr>
                <w:b/>
                <w:color w:val="000000"/>
                <w:sz w:val="22"/>
                <w:szCs w:val="22"/>
              </w:rPr>
              <w:t>.202</w:t>
            </w:r>
            <w:r w:rsidR="00670560">
              <w:rPr>
                <w:b/>
                <w:color w:val="000000"/>
                <w:sz w:val="22"/>
                <w:szCs w:val="22"/>
              </w:rPr>
              <w:t>3</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D3917">
              <w:rPr>
                <w:b/>
                <w:color w:val="000000"/>
                <w:sz w:val="22"/>
                <w:szCs w:val="22"/>
              </w:rPr>
              <w:t>01</w:t>
            </w:r>
            <w:r w:rsidRPr="00B871AA">
              <w:rPr>
                <w:b/>
                <w:color w:val="000000"/>
                <w:sz w:val="22"/>
                <w:szCs w:val="22"/>
              </w:rPr>
              <w:t>.</w:t>
            </w:r>
            <w:r w:rsidR="00670560">
              <w:rPr>
                <w:b/>
                <w:color w:val="000000"/>
                <w:sz w:val="22"/>
                <w:szCs w:val="22"/>
              </w:rPr>
              <w:t>0</w:t>
            </w:r>
            <w:r w:rsidR="004D3917">
              <w:rPr>
                <w:b/>
                <w:color w:val="000000"/>
                <w:sz w:val="22"/>
                <w:szCs w:val="22"/>
              </w:rPr>
              <w:t>9</w:t>
            </w:r>
            <w:r w:rsidRPr="00B871AA">
              <w:rPr>
                <w:b/>
                <w:color w:val="000000"/>
                <w:sz w:val="22"/>
                <w:szCs w:val="22"/>
              </w:rPr>
              <w:t>.202</w:t>
            </w:r>
            <w:r w:rsidR="00670560">
              <w:rPr>
                <w:b/>
                <w:color w:val="000000"/>
                <w:sz w:val="22"/>
                <w:szCs w:val="22"/>
              </w:rPr>
              <w:t>3</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9B533C" w:rsidRPr="00046B1C" w:rsidRDefault="009B533C" w:rsidP="00046B1C">
            <w:pPr>
              <w:jc w:val="right"/>
              <w:rPr>
                <w:b/>
              </w:rPr>
            </w:pPr>
            <w:r w:rsidRPr="00046B1C">
              <w:rPr>
                <w:b/>
                <w:bCs/>
                <w:iCs/>
              </w:rPr>
              <w:t>ЗАТВЕРДЖЕНО</w:t>
            </w:r>
          </w:p>
          <w:p w:rsidR="00E01462"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046B1C" w:rsidRPr="00B871AA" w:rsidRDefault="009422EA" w:rsidP="00046B1C">
            <w:pPr>
              <w:shd w:val="clear" w:color="auto" w:fill="FFFFFF"/>
              <w:jc w:val="right"/>
              <w:textAlignment w:val="baseline"/>
              <w:rPr>
                <w:b/>
                <w:color w:val="000000"/>
                <w:sz w:val="22"/>
                <w:szCs w:val="22"/>
              </w:rPr>
            </w:pPr>
            <w:r w:rsidRPr="00033E42">
              <w:rPr>
                <w:b/>
                <w:bCs/>
              </w:rPr>
              <w:t>Протокол №</w:t>
            </w:r>
            <w:r w:rsidR="004B4A62">
              <w:rPr>
                <w:b/>
                <w:bCs/>
              </w:rPr>
              <w:t>210</w:t>
            </w:r>
            <w:r w:rsidRPr="00033E42">
              <w:rPr>
                <w:b/>
                <w:bCs/>
              </w:rPr>
              <w:t xml:space="preserve"> від 29</w:t>
            </w:r>
            <w:r w:rsidRPr="00033E42">
              <w:rPr>
                <w:b/>
              </w:rPr>
              <w:t xml:space="preserve"> серпня 2023 року</w:t>
            </w:r>
          </w:p>
        </w:tc>
        <w:tc>
          <w:tcPr>
            <w:tcW w:w="6946" w:type="dxa"/>
            <w:vAlign w:val="center"/>
          </w:tcPr>
          <w:p w:rsidR="00046B1C" w:rsidRPr="00046B1C" w:rsidRDefault="00046B1C" w:rsidP="00046B1C">
            <w:pPr>
              <w:jc w:val="right"/>
              <w:rPr>
                <w:b/>
              </w:rPr>
            </w:pPr>
            <w:r w:rsidRPr="00046B1C">
              <w:rPr>
                <w:b/>
                <w:bCs/>
                <w:iCs/>
              </w:rPr>
              <w:t>ЗАТВЕРДЖЕНО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Pr="00B871AA" w:rsidRDefault="00046B1C" w:rsidP="009422EA">
            <w:pPr>
              <w:ind w:left="1741" w:hanging="1741"/>
              <w:jc w:val="right"/>
              <w:rPr>
                <w:b/>
                <w:color w:val="000000"/>
                <w:sz w:val="22"/>
                <w:szCs w:val="22"/>
              </w:rPr>
            </w:pPr>
            <w:r w:rsidRPr="00F81827">
              <w:rPr>
                <w:b/>
                <w:bCs/>
                <w:color w:val="000000" w:themeColor="text1"/>
              </w:rPr>
              <w:t>Протокол №</w:t>
            </w:r>
            <w:r w:rsidR="00033D14">
              <w:rPr>
                <w:b/>
                <w:bCs/>
                <w:color w:val="000000" w:themeColor="text1"/>
                <w:lang w:val="ru-RU"/>
              </w:rPr>
              <w:t>23</w:t>
            </w:r>
            <w:r w:rsidR="004B4A62">
              <w:rPr>
                <w:b/>
                <w:bCs/>
                <w:color w:val="000000" w:themeColor="text1"/>
                <w:lang w:val="ru-RU"/>
              </w:rPr>
              <w:t>8</w:t>
            </w:r>
            <w:r w:rsidRPr="00F81827">
              <w:rPr>
                <w:b/>
                <w:bCs/>
                <w:color w:val="000000" w:themeColor="text1"/>
              </w:rPr>
              <w:t xml:space="preserve"> від</w:t>
            </w:r>
            <w:r w:rsidRPr="00046B1C">
              <w:rPr>
                <w:b/>
                <w:bCs/>
              </w:rPr>
              <w:t xml:space="preserve"> </w:t>
            </w:r>
            <w:r w:rsidR="004D3917">
              <w:rPr>
                <w:b/>
                <w:bCs/>
              </w:rPr>
              <w:t>01</w:t>
            </w:r>
            <w:r w:rsidRPr="00046B1C">
              <w:rPr>
                <w:b/>
              </w:rPr>
              <w:t xml:space="preserve"> </w:t>
            </w:r>
            <w:r w:rsidR="004D3917">
              <w:rPr>
                <w:b/>
              </w:rPr>
              <w:t>вересня</w:t>
            </w:r>
            <w:r w:rsidRPr="00046B1C">
              <w:rPr>
                <w:b/>
              </w:rPr>
              <w:t xml:space="preserve"> 2023 року</w:t>
            </w: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0D4507" w:rsidP="004D3917">
            <w:pPr>
              <w:jc w:val="center"/>
              <w:rPr>
                <w:b/>
                <w:color w:val="000000"/>
                <w:sz w:val="22"/>
                <w:szCs w:val="22"/>
              </w:rPr>
            </w:pPr>
            <w:r>
              <w:rPr>
                <w:b/>
                <w:color w:val="000000"/>
                <w:sz w:val="22"/>
                <w:szCs w:val="22"/>
              </w:rPr>
              <w:t>П</w:t>
            </w:r>
            <w:r w:rsidR="004D3917">
              <w:rPr>
                <w:b/>
                <w:color w:val="000000"/>
                <w:sz w:val="22"/>
                <w:szCs w:val="22"/>
              </w:rPr>
              <w:t>.п.3.1.10. п. 1 Розділу ІІІ ТД</w:t>
            </w:r>
          </w:p>
        </w:tc>
        <w:tc>
          <w:tcPr>
            <w:tcW w:w="7038" w:type="dxa"/>
            <w:vAlign w:val="center"/>
          </w:tcPr>
          <w:p w:rsidR="007E603A" w:rsidRPr="00046B1C" w:rsidRDefault="007E603A" w:rsidP="00D925E6">
            <w:pPr>
              <w:tabs>
                <w:tab w:val="left" w:pos="993"/>
              </w:tabs>
              <w:contextualSpacing/>
              <w:jc w:val="both"/>
            </w:pPr>
          </w:p>
        </w:tc>
        <w:tc>
          <w:tcPr>
            <w:tcW w:w="6946" w:type="dxa"/>
            <w:vAlign w:val="center"/>
          </w:tcPr>
          <w:p w:rsidR="007E603A" w:rsidRPr="00046B1C" w:rsidRDefault="004D3917" w:rsidP="004D3917">
            <w:pPr>
              <w:tabs>
                <w:tab w:val="left" w:pos="711"/>
                <w:tab w:val="left" w:pos="10381"/>
              </w:tabs>
              <w:contextualSpacing/>
              <w:jc w:val="both"/>
            </w:pPr>
            <w:bookmarkStart w:id="0" w:name="_GoBack"/>
            <w:r>
              <w:t xml:space="preserve">3.1.10. </w:t>
            </w:r>
            <w:r w:rsidRPr="0017637E">
              <w:rPr>
                <w:rFonts w:eastAsia="Calibri"/>
                <w:color w:val="000000" w:themeColor="text1"/>
                <w:lang w:eastAsia="ru-RU"/>
              </w:rPr>
              <w:t>На вимогу Закону України «Про захист персональних даних» Учасник повинен надати в складі пропозиції згоду (лист в довільній формі</w:t>
            </w:r>
            <w:r>
              <w:rPr>
                <w:rFonts w:eastAsia="Calibri"/>
                <w:color w:val="000000" w:themeColor="text1"/>
                <w:lang w:eastAsia="ru-RU"/>
              </w:rPr>
              <w:t>) на обробку персональних даних</w:t>
            </w:r>
            <w:r w:rsidRPr="0017637E">
              <w:rPr>
                <w:rFonts w:eastAsia="Calibri"/>
                <w:color w:val="000000" w:themeColor="text1"/>
                <w:lang w:eastAsia="ru-RU"/>
              </w:rPr>
              <w:t xml:space="preserve"> </w:t>
            </w:r>
            <w:r>
              <w:rPr>
                <w:rFonts w:eastAsia="Calibri"/>
                <w:color w:val="000000" w:themeColor="text1"/>
                <w:lang w:eastAsia="ru-RU"/>
              </w:rPr>
              <w:t>працівників</w:t>
            </w:r>
            <w:r w:rsidRPr="0017637E">
              <w:rPr>
                <w:rFonts w:eastAsia="Calibri"/>
                <w:color w:val="000000" w:themeColor="text1"/>
                <w:lang w:eastAsia="ru-RU"/>
              </w:rPr>
              <w:t xml:space="preserve"> учасника, що </w:t>
            </w:r>
            <w:r>
              <w:rPr>
                <w:rFonts w:eastAsia="Calibri"/>
                <w:color w:val="000000" w:themeColor="text1"/>
                <w:lang w:eastAsia="ru-RU"/>
              </w:rPr>
              <w:t>зазначені у Додатку №1 ТД</w:t>
            </w:r>
            <w:r w:rsidRPr="0017637E">
              <w:rPr>
                <w:rFonts w:eastAsia="Calibri"/>
                <w:color w:val="000000" w:themeColor="text1"/>
                <w:lang w:eastAsia="ru-RU"/>
              </w:rPr>
              <w:t>.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bookmarkEnd w:id="0"/>
          </w:p>
        </w:tc>
      </w:tr>
    </w:tbl>
    <w:p w:rsidR="00B31274" w:rsidRPr="00B871AA" w:rsidRDefault="00B31274"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046B1C">
        <w:rPr>
          <w:rFonts w:eastAsia="Courier New" w:cs="Wingdings"/>
          <w:b/>
        </w:rPr>
        <w:t>Тетяна</w:t>
      </w:r>
      <w:r w:rsidR="000E3FD1" w:rsidRPr="00377F8D">
        <w:rPr>
          <w:rFonts w:eastAsia="Courier New" w:cs="Wingdings"/>
          <w:b/>
        </w:rPr>
        <w:t xml:space="preserve"> </w:t>
      </w:r>
      <w:r w:rsidR="00046B1C">
        <w:rPr>
          <w:rFonts w:eastAsia="Courier New" w:cs="Wingdings"/>
          <w:b/>
        </w:rPr>
        <w:t>ГУСАР</w:t>
      </w:r>
      <w:r w:rsidR="007311E9" w:rsidRPr="00B871AA">
        <w:rPr>
          <w:b/>
          <w:bCs/>
          <w:spacing w:val="1"/>
          <w:sz w:val="22"/>
          <w:szCs w:val="22"/>
        </w:rPr>
        <w:tab/>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4"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2"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 w:numId="10">
    <w:abstractNumId w:val="11"/>
  </w:num>
  <w:num w:numId="11">
    <w:abstractNumId w:val="2"/>
  </w:num>
  <w:num w:numId="12">
    <w:abstractNumId w:val="12"/>
  </w:num>
  <w:num w:numId="13">
    <w:abstractNumId w:val="6"/>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D4507"/>
    <w:rsid w:val="000E306E"/>
    <w:rsid w:val="000E3199"/>
    <w:rsid w:val="000E3FD1"/>
    <w:rsid w:val="000F43AD"/>
    <w:rsid w:val="00103B01"/>
    <w:rsid w:val="001138C4"/>
    <w:rsid w:val="0016209F"/>
    <w:rsid w:val="001C0CCB"/>
    <w:rsid w:val="001C416F"/>
    <w:rsid w:val="001F55A0"/>
    <w:rsid w:val="00237659"/>
    <w:rsid w:val="002D2BC5"/>
    <w:rsid w:val="002F4232"/>
    <w:rsid w:val="002F54CC"/>
    <w:rsid w:val="002F6AF6"/>
    <w:rsid w:val="00323DFC"/>
    <w:rsid w:val="003510AA"/>
    <w:rsid w:val="003B4E84"/>
    <w:rsid w:val="003F6CC1"/>
    <w:rsid w:val="004924A9"/>
    <w:rsid w:val="004B4A62"/>
    <w:rsid w:val="004B71E5"/>
    <w:rsid w:val="004D3917"/>
    <w:rsid w:val="004E24AC"/>
    <w:rsid w:val="004F1DAA"/>
    <w:rsid w:val="00502010"/>
    <w:rsid w:val="00553016"/>
    <w:rsid w:val="00554FC9"/>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8D68DB"/>
    <w:rsid w:val="00916334"/>
    <w:rsid w:val="00917E62"/>
    <w:rsid w:val="00930C61"/>
    <w:rsid w:val="009422EA"/>
    <w:rsid w:val="00944244"/>
    <w:rsid w:val="00955EAA"/>
    <w:rsid w:val="00960636"/>
    <w:rsid w:val="009B533C"/>
    <w:rsid w:val="009C73E1"/>
    <w:rsid w:val="009E6795"/>
    <w:rsid w:val="00A24DB4"/>
    <w:rsid w:val="00A27F4C"/>
    <w:rsid w:val="00A80374"/>
    <w:rsid w:val="00A83C45"/>
    <w:rsid w:val="00AA332C"/>
    <w:rsid w:val="00AB5855"/>
    <w:rsid w:val="00AC7304"/>
    <w:rsid w:val="00AF1490"/>
    <w:rsid w:val="00B228EE"/>
    <w:rsid w:val="00B31274"/>
    <w:rsid w:val="00B37DED"/>
    <w:rsid w:val="00B871AA"/>
    <w:rsid w:val="00B97EF6"/>
    <w:rsid w:val="00BB496E"/>
    <w:rsid w:val="00BE7B00"/>
    <w:rsid w:val="00C9049B"/>
    <w:rsid w:val="00C9455C"/>
    <w:rsid w:val="00CA1363"/>
    <w:rsid w:val="00CD35F6"/>
    <w:rsid w:val="00CE3061"/>
    <w:rsid w:val="00D925E6"/>
    <w:rsid w:val="00DB69F5"/>
    <w:rsid w:val="00DC57B4"/>
    <w:rsid w:val="00DE4E7F"/>
    <w:rsid w:val="00E01462"/>
    <w:rsid w:val="00E02FE8"/>
    <w:rsid w:val="00E422BC"/>
    <w:rsid w:val="00E4698E"/>
    <w:rsid w:val="00E6275C"/>
    <w:rsid w:val="00E71699"/>
    <w:rsid w:val="00EA6930"/>
    <w:rsid w:val="00EA71FA"/>
    <w:rsid w:val="00EB2D83"/>
    <w:rsid w:val="00EE479C"/>
    <w:rsid w:val="00F81827"/>
    <w:rsid w:val="00FA24BE"/>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5753"/>
  <w15:docId w15:val="{167B7435-1F76-42A3-9EED-B0896037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FD0F-0C6F-4580-824B-B9244B9A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84</cp:revision>
  <cp:lastPrinted>2022-12-13T05:41:00Z</cp:lastPrinted>
  <dcterms:created xsi:type="dcterms:W3CDTF">2020-03-25T13:50:00Z</dcterms:created>
  <dcterms:modified xsi:type="dcterms:W3CDTF">2023-09-01T12:00:00Z</dcterms:modified>
</cp:coreProperties>
</file>