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ascii="Times New Roman" w:hAnsi="Times New Roman" w:cs="Times New Roman"/>
          <w:sz w:val="24"/>
          <w:szCs w:val="24"/>
          <w:lang w:val="uk-UA"/>
        </w:rPr>
        <w:t>Додаток</w:t>
      </w:r>
      <w:r>
        <w:rPr>
          <w:rFonts w:hint="default" w:ascii="Times New Roman" w:hAnsi="Times New Roman" w:cs="Times New Roman"/>
          <w:sz w:val="24"/>
          <w:szCs w:val="24"/>
          <w:lang w:val="uk-UA"/>
        </w:rPr>
        <w:t xml:space="preserve"> №4</w:t>
      </w:r>
    </w:p>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hint="default" w:ascii="Times New Roman" w:hAnsi="Times New Roman" w:cs="Times New Roman"/>
          <w:sz w:val="24"/>
          <w:szCs w:val="24"/>
          <w:lang w:val="uk-UA"/>
        </w:rPr>
        <w:t>____________________________________________________________________________________</w:t>
      </w:r>
      <w:r>
        <w:rPr>
          <w:rFonts w:hint="default" w:ascii="Times New Roman" w:hAnsi="Times New Roman"/>
          <w:b/>
          <w:sz w:val="24"/>
          <w:szCs w:val="24"/>
          <w:lang w:val="uk-UA"/>
        </w:rPr>
        <w:t xml:space="preserve">(далі - Учасник, Виконавець), </w:t>
      </w:r>
      <w:r>
        <w:rPr>
          <w:rFonts w:hint="default" w:ascii="Times New Roman" w:hAnsi="Times New Roman"/>
          <w:b w:val="0"/>
          <w:bCs/>
          <w:sz w:val="24"/>
          <w:szCs w:val="24"/>
          <w:lang w:val="uk-UA"/>
        </w:rPr>
        <w:t>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pStyle w:val="11"/>
        <w:numPr>
          <w:ilvl w:val="0"/>
          <w:numId w:val="0"/>
        </w:numPr>
        <w:shd w:val="clear" w:color="auto" w:fill="FFFFFF"/>
        <w:tabs>
          <w:tab w:val="left" w:pos="709"/>
          <w:tab w:val="left" w:pos="993"/>
        </w:tabs>
        <w:suppressAutoHyphens/>
        <w:spacing w:after="0" w:line="240" w:lineRule="auto"/>
        <w:ind w:left="418" w:leftChars="0" w:right="71" w:rightChars="0"/>
        <w:jc w:val="center"/>
        <w:rPr>
          <w:rFonts w:hint="default" w:ascii="Times New Roman" w:hAnsi="Times New Roman"/>
          <w:b/>
          <w:bCs/>
          <w:i w:val="0"/>
          <w:iCs w:val="0"/>
          <w:sz w:val="24"/>
          <w:szCs w:val="24"/>
          <w:lang w:val="uk-UA"/>
        </w:rPr>
      </w:pPr>
      <w:r>
        <w:rPr>
          <w:rFonts w:hint="default" w:ascii="Times New Roman" w:hAnsi="Times New Roman"/>
          <w:b/>
          <w:bCs/>
          <w:i w:val="0"/>
          <w:iCs w:val="0"/>
          <w:sz w:val="24"/>
          <w:szCs w:val="24"/>
          <w:lang w:val="uk-UA"/>
        </w:rPr>
        <w:t>І. Предмет договору</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 xml:space="preserve">Виконавець зобов'язується протягом 2023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eastAsia="ru-RU"/>
        </w:rPr>
      </w:pPr>
      <w:r>
        <w:rPr>
          <w:rFonts w:hint="default" w:ascii="Times New Roman" w:hAnsi="Times New Roman"/>
          <w:i w:val="0"/>
          <w:iCs w:val="0"/>
          <w:sz w:val="24"/>
          <w:szCs w:val="24"/>
          <w:lang w:val="uk-UA"/>
        </w:rPr>
        <w:t>Найменування послуг: “Послуги медичних лабораторій”, код згідно національного класифікатора України ДК 021:2015 «Єдиний закупівельний словник» за показником четвертої цифри — 85140000-2</w:t>
      </w:r>
      <w:r>
        <w:rPr>
          <w:rFonts w:hint="default" w:ascii="Times New Roman" w:hAnsi="Times New Roman"/>
          <w:i w:val="0"/>
          <w:iCs w:val="0"/>
          <w:sz w:val="24"/>
          <w:szCs w:val="24"/>
          <w:lang w:val="en-US"/>
        </w:rPr>
        <w:t xml:space="preserve"> </w:t>
      </w:r>
      <w:r>
        <w:rPr>
          <w:rFonts w:hint="default" w:ascii="Times New Roman" w:hAnsi="Times New Roman"/>
          <w:i w:val="0"/>
          <w:iCs w:val="0"/>
          <w:sz w:val="24"/>
          <w:szCs w:val="24"/>
          <w:lang w:val="uk-UA"/>
        </w:rPr>
        <w:t>Послуги у сфері охорони здоров’я різні.</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Кількість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eastAsia="ru-RU"/>
        </w:rPr>
        <w:t xml:space="preserve"> 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709"/>
          <w:tab w:val="left" w:pos="993"/>
        </w:tabs>
        <w:suppressAutoHyphens/>
        <w:spacing w:after="0" w:line="240" w:lineRule="auto"/>
        <w:ind w:left="-8" w:leftChars="0" w:right="71" w:firstLine="426" w:firstLineChars="0"/>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b/>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hint="default" w:ascii="Times New Roman" w:hAnsi="Times New Roman"/>
          <w:i w:val="0"/>
          <w:color w:val="auto"/>
          <w:spacing w:val="0"/>
          <w:lang w:val="uk-UA" w:bidi="en-US"/>
        </w:rPr>
        <w:t>_________________________________________________</w:t>
      </w:r>
      <w:r>
        <w:rPr>
          <w:rFonts w:ascii="Times New Roman" w:hAnsi="Times New Roman"/>
          <w:i w:val="0"/>
          <w:color w:val="auto"/>
          <w:spacing w:val="0"/>
          <w:lang w:val="uk-UA" w:bidi="en-US"/>
        </w:rPr>
        <w:t xml:space="preserve"> в т.ч. ПДВ, грн.: </w:t>
      </w:r>
      <w:r>
        <w:rPr>
          <w:rFonts w:hint="default" w:ascii="Times New Roman" w:hAnsi="Times New Roman"/>
          <w:i w:val="0"/>
          <w:color w:val="auto"/>
          <w:spacing w:val="0"/>
          <w:lang w:val="uk-UA" w:bidi="en-US"/>
        </w:rPr>
        <w:t>________________________________</w:t>
      </w:r>
      <w:r>
        <w:rPr>
          <w:rFonts w:ascii="Times New Roman" w:hAnsi="Times New Roman"/>
          <w:i w:val="0"/>
          <w:color w:val="auto"/>
          <w:spacing w:val="0"/>
          <w:lang w:val="uk-UA" w:bidi="en-US"/>
        </w:rPr>
        <w:t>.</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надання Виконавцем акту</w:t>
      </w:r>
      <w:r>
        <w:rPr>
          <w:rFonts w:hint="default" w:ascii="Times New Roman" w:hAnsi="Times New Roman" w:cs="Times New Roman"/>
          <w:sz w:val="24"/>
          <w:szCs w:val="24"/>
          <w:lang w:val="uk-UA"/>
        </w:rPr>
        <w:t xml:space="preserve">-рахунку </w:t>
      </w:r>
      <w:r>
        <w:rPr>
          <w:rFonts w:ascii="Times New Roman" w:hAnsi="Times New Roman" w:cs="Times New Roman"/>
          <w:sz w:val="24"/>
          <w:szCs w:val="24"/>
          <w:lang w:val="uk-UA"/>
        </w:rPr>
        <w:t>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15</w:t>
      </w:r>
      <w:r>
        <w:rPr>
          <w:rFonts w:ascii="Times New Roman" w:hAnsi="Times New Roman" w:cs="Times New Roman"/>
          <w:sz w:val="24"/>
          <w:szCs w:val="24"/>
          <w:lang w:val="uk-UA"/>
        </w:rPr>
        <w:t xml:space="preserve">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hint="default" w:ascii="Times New Roman" w:hAnsi="Times New Roman"/>
          <w:sz w:val="24"/>
          <w:szCs w:val="24"/>
          <w:lang w:val="uk-UA"/>
        </w:rPr>
        <w:t>Оплата за даним Договором здійснюється Замовником в національній валюті України - гривні,</w:t>
      </w:r>
      <w:bookmarkStart w:id="0" w:name="_GoBack"/>
      <w:bookmarkEnd w:id="0"/>
      <w:r>
        <w:rPr>
          <w:rFonts w:hint="default" w:ascii="Times New Roman" w:hAnsi="Times New Roman"/>
          <w:sz w:val="24"/>
          <w:szCs w:val="24"/>
          <w:lang w:val="uk-UA"/>
        </w:rPr>
        <w:t xml:space="preserve"> шляхом перерахування грошових коштів на банківський рахунок Учасника, який зазначений в даному Договорі. Зобов’язання з оплати вважається виконаним з моменту зарахування грошових коштів на банківський рахунок Учасника.</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з</w:t>
      </w:r>
      <w:r>
        <w:rPr>
          <w:rFonts w:hint="default" w:ascii="Times New Roman" w:hAnsi="Times New Roman" w:cs="Times New Roman"/>
          <w:sz w:val="24"/>
          <w:szCs w:val="24"/>
          <w:lang w:val="uk-UA"/>
        </w:rPr>
        <w:t xml:space="preserve"> моменту підписання договору до 31.12.2023</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5.2. Місце надання послуг: за місцезнаходженням лабораторії Виконавця.</w:t>
      </w:r>
    </w:p>
    <w:p>
      <w:pPr>
        <w:shd w:val="clear" w:color="auto" w:fill="FFFFFF"/>
        <w:tabs>
          <w:tab w:val="left" w:pos="426"/>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 відповідно до вимог та в терміни зазначені в цьому Договорі.</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Виконавцем, письмово</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Виконавець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Виконавець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Виконавець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7.5. </w:t>
      </w:r>
      <w:r>
        <w:rPr>
          <w:rFonts w:hint="default" w:ascii="Times New Roman" w:hAnsi="Times New Roman"/>
          <w:sz w:val="24"/>
          <w:szCs w:val="24"/>
          <w:lang w:val="uk-UA"/>
        </w:rPr>
        <w:t xml:space="preserve">У paзi порушення Замовником п. 4.3 Договору, Замовник сплачує Виконавцю пеню у pозмірі подвійної облікової ставки НБУ за кожен день порушення зобов'язань, а за прострочення оплати понад 30 (тридцять) календарних днів Замовник додатково сплачує Виконавцю  штраф у розмірі  10 (десяти) відсотків від простроченої суми. </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7.6. </w:t>
      </w:r>
      <w:r>
        <w:rPr>
          <w:rFonts w:hint="default" w:ascii="Times New Roman" w:hAnsi="Times New Roman"/>
          <w:sz w:val="24"/>
          <w:szCs w:val="24"/>
          <w:lang w:val="uk-UA"/>
        </w:rPr>
        <w:t>Сторона вважається невинуватою, якщо вона доведе, що вжила всіх назалежних від неї заходів щодо належного виконання цього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cs="Times New Roman"/>
          <w:sz w:val="24"/>
          <w:szCs w:val="24"/>
          <w:lang w:val="uk-UA"/>
        </w:rPr>
        <w:t>8.1.</w:t>
      </w:r>
      <w:r>
        <w:rPr>
          <w:rFonts w:hint="default" w:ascii="Times New Roman" w:hAnsi="Times New Roman"/>
          <w:sz w:val="24"/>
          <w:szCs w:val="24"/>
          <w:lang w:val="uk-UA"/>
        </w:rPr>
        <w:t xml:space="preserve"> 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cs="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r>
        <w:rPr>
          <w:rFonts w:ascii="Times New Roman" w:hAnsi="Times New Roman" w:cs="Times New Roman"/>
          <w:sz w:val="24"/>
          <w:szCs w:val="24"/>
          <w:lang w:val="uk-UA"/>
        </w:rPr>
        <w:tab/>
      </w:r>
      <w:r>
        <w:rPr>
          <w:rFonts w:ascii="Times New Roman" w:hAnsi="Times New Roman" w:cs="Times New Roman"/>
          <w:sz w:val="24"/>
          <w:szCs w:val="24"/>
          <w:lang w:val="uk-UA"/>
        </w:rPr>
        <w:tab/>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припиняється: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jc w:val="both"/>
        <w:rPr>
          <w:rFonts w:hint="default" w:ascii="Times New Roman" w:hAnsi="Times New Roman"/>
          <w:color w:val="0000FF"/>
          <w:sz w:val="24"/>
          <w:szCs w:val="24"/>
          <w:lang w:val="uk-UA"/>
        </w:rPr>
      </w:pPr>
      <w:r>
        <w:rPr>
          <w:rFonts w:hint="default" w:ascii="Times New Roman" w:hAnsi="Times New Roman"/>
          <w:sz w:val="24"/>
          <w:szCs w:val="24"/>
          <w:lang w:val="uk-UA"/>
        </w:rPr>
        <w:t xml:space="preserve">- електронна пошта Замовника: </w:t>
      </w:r>
      <w:r>
        <w:rPr>
          <w:rFonts w:hint="default" w:ascii="Times New Roman" w:hAnsi="Times New Roman"/>
          <w:color w:val="0000FF"/>
          <w:sz w:val="24"/>
          <w:szCs w:val="24"/>
          <w:lang w:val="uk-UA"/>
        </w:rPr>
        <w:t>centrmonitoringu2021@gmail.com </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r>
        <w:rPr>
          <w:rFonts w:ascii="Times New Roman" w:hAnsi="Times New Roman" w:cs="Times New Roman"/>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«Калькуляція».</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uk-UA"/>
              </w:rPr>
              <w:t>тел.(0412) 43-87-40</w:t>
            </w:r>
            <w:r>
              <w:rPr>
                <w:rFonts w:hint="default" w:ascii="Times New Roman" w:hAnsi="Times New Roman" w:cs="Times New Roman"/>
                <w:sz w:val="24"/>
                <w:szCs w:val="24"/>
                <w:lang w:val="ru-RU"/>
              </w:rPr>
              <w:t>; 43-08-10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jc w:val="right"/>
        <w:rPr>
          <w:rFonts w:ascii="Times New Roman" w:hAnsi="Times New Roman" w:cs="Times New Roman"/>
          <w:b/>
          <w:sz w:val="24"/>
          <w:szCs w:val="24"/>
          <w:lang w:val="uk-UA"/>
        </w:rPr>
        <w:sectPr>
          <w:pgSz w:w="11906" w:h="16838"/>
          <w:pgMar w:top="851" w:right="850" w:bottom="851"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tbl>
      <w:tblPr>
        <w:tblStyle w:val="3"/>
        <w:tblW w:w="4973"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416"/>
        <w:gridCol w:w="1074"/>
        <w:gridCol w:w="930"/>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159"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5"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45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71"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ind w:left="-108"/>
              <w:jc w:val="center"/>
              <w:rPr>
                <w:rFonts w:ascii="Times New Roman" w:hAnsi="Times New Roman" w:cs="Times New Roman"/>
                <w:b/>
                <w:sz w:val="24"/>
                <w:szCs w:val="24"/>
                <w:lang w:val="uk-UA" w:bidi="en-US"/>
              </w:rPr>
            </w:pPr>
            <w:r>
              <w:rPr>
                <w:rFonts w:hint="default" w:ascii="Times New Roman" w:hAnsi="Times New Roman"/>
                <w:b/>
                <w:bCs/>
                <w:color w:val="000000"/>
                <w:sz w:val="24"/>
                <w:szCs w:val="24"/>
                <w:shd w:val="clear" w:color="auto" w:fill="FDFEFD"/>
                <w:lang w:val="uk-UA"/>
              </w:rPr>
              <w:t>85140000-2 Послуги у сфері охорони здоров’я різні (Послуги медичних лабораторій)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75" w:type="pct"/>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416" w:type="dxa"/>
            <w:shd w:val="clear" w:color="auto" w:fill="auto"/>
            <w:vAlign w:val="top"/>
          </w:tcPr>
          <w:p>
            <w:pPr>
              <w:rPr>
                <w:rFonts w:ascii="Times New Roman" w:hAnsi="Times New Roman" w:cs="Times New Roman"/>
                <w:iCs/>
                <w:color w:val="000000"/>
                <w:sz w:val="24"/>
                <w:szCs w:val="24"/>
                <w:lang w:val="uk-UA"/>
              </w:rPr>
            </w:pPr>
            <w:r>
              <w:rPr>
                <w:rFonts w:ascii="Times New Roman" w:hAnsi="Times New Roman" w:cs="Times New Roman"/>
                <w:lang w:val="uk-UA"/>
              </w:rPr>
              <w:t>Крос-матч тестування методом проточної цитометрії (1 пара)</w:t>
            </w:r>
          </w:p>
        </w:tc>
        <w:tc>
          <w:tcPr>
            <w:tcW w:w="1074" w:type="dxa"/>
            <w:shd w:val="clear" w:color="auto" w:fill="auto"/>
            <w:vAlign w:val="center"/>
          </w:tcPr>
          <w:p>
            <w:pPr>
              <w:spacing w:after="0" w:line="240" w:lineRule="auto"/>
              <w:jc w:val="center"/>
              <w:rPr>
                <w:rFonts w:hint="default" w:ascii="Times New Roman" w:hAnsi="Times New Roman" w:cs="Times New Roman"/>
                <w:color w:val="000000"/>
                <w:sz w:val="24"/>
                <w:szCs w:val="24"/>
                <w:lang w:val="ru-RU"/>
              </w:rPr>
            </w:pPr>
            <w:r>
              <w:rPr>
                <w:rFonts w:hint="default" w:ascii="Times New Roman" w:hAnsi="Times New Roman" w:eastAsia="Times New Roman" w:cs="Times New Roman"/>
                <w:lang w:val="uk-UA"/>
              </w:rPr>
              <w:t>послуга</w:t>
            </w:r>
          </w:p>
        </w:tc>
        <w:tc>
          <w:tcPr>
            <w:tcW w:w="930" w:type="dxa"/>
            <w:shd w:val="clear" w:color="auto" w:fill="auto"/>
            <w:vAlign w:val="center"/>
          </w:tcPr>
          <w:p>
            <w:pPr>
              <w:jc w:val="center"/>
              <w:rPr>
                <w:rFonts w:hint="default" w:ascii="Times New Roman" w:hAnsi="Times New Roman" w:cs="Times New Roman"/>
                <w:color w:val="000000"/>
                <w:sz w:val="24"/>
                <w:szCs w:val="24"/>
                <w:lang w:val="uk-UA"/>
              </w:rPr>
            </w:pPr>
            <w:r>
              <w:rPr>
                <w:rFonts w:ascii="Times New Roman" w:hAnsi="Times New Roman" w:cs="Times New Roman"/>
                <w:lang w:val="uk-UA"/>
              </w:rPr>
              <w:t>90</w:t>
            </w: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75" w:type="pct"/>
            <w:vAlign w:val="center"/>
          </w:tcPr>
          <w:p>
            <w:pPr>
              <w:spacing w:after="0" w:line="240" w:lineRule="auto"/>
              <w:jc w:val="center"/>
              <w:rPr>
                <w:rFonts w:ascii="Times New Roman" w:hAnsi="Times New Roman" w:cs="Times New Roman"/>
                <w:sz w:val="24"/>
                <w:szCs w:val="24"/>
                <w:lang w:val="uk-UA"/>
              </w:rPr>
            </w:pPr>
          </w:p>
        </w:tc>
        <w:tc>
          <w:tcPr>
            <w:tcW w:w="4416" w:type="dxa"/>
            <w:shd w:val="clear" w:color="auto" w:fill="auto"/>
            <w:vAlign w:val="top"/>
          </w:tcPr>
          <w:p>
            <w:pPr>
              <w:rPr>
                <w:rFonts w:ascii="Times New Roman" w:hAnsi="Times New Roman"/>
                <w:i/>
                <w:iCs/>
                <w:sz w:val="24"/>
                <w:szCs w:val="24"/>
                <w:lang w:val="uk-UA"/>
              </w:rPr>
            </w:pPr>
            <w:r>
              <w:rPr>
                <w:rFonts w:ascii="Times New Roman" w:hAnsi="Times New Roman" w:cs="Times New Roman"/>
                <w:lang w:val="en-US"/>
              </w:rPr>
              <w:t>HLA</w:t>
            </w:r>
            <w:r>
              <w:rPr>
                <w:rFonts w:ascii="Times New Roman" w:hAnsi="Times New Roman" w:cs="Times New Roman"/>
                <w:lang w:val="uk-UA"/>
              </w:rPr>
              <w:t xml:space="preserve"> типування </w:t>
            </w:r>
            <w:r>
              <w:rPr>
                <w:rFonts w:ascii="Times New Roman" w:hAnsi="Times New Roman" w:cs="Times New Roman"/>
                <w:lang w:val="en-US"/>
              </w:rPr>
              <w:t>I</w:t>
            </w:r>
            <w:r>
              <w:rPr>
                <w:rFonts w:ascii="Times New Roman" w:hAnsi="Times New Roman" w:cs="Times New Roman"/>
                <w:lang w:val="uk-UA"/>
              </w:rPr>
              <w:t xml:space="preserve"> (</w:t>
            </w:r>
            <w:r>
              <w:rPr>
                <w:rFonts w:ascii="Times New Roman" w:hAnsi="Times New Roman" w:cs="Times New Roman"/>
                <w:lang w:val="en-US"/>
              </w:rPr>
              <w:t>A</w:t>
            </w:r>
            <w:r>
              <w:rPr>
                <w:rFonts w:ascii="Times New Roman" w:hAnsi="Times New Roman" w:cs="Times New Roman"/>
                <w:lang w:val="uk-UA"/>
              </w:rPr>
              <w:t xml:space="preserve">, </w:t>
            </w:r>
            <w:r>
              <w:rPr>
                <w:rFonts w:ascii="Times New Roman" w:hAnsi="Times New Roman" w:cs="Times New Roman"/>
                <w:lang w:val="en-US"/>
              </w:rPr>
              <w:t>B</w:t>
            </w:r>
            <w:r>
              <w:rPr>
                <w:rFonts w:ascii="Times New Roman" w:hAnsi="Times New Roman" w:cs="Times New Roman"/>
                <w:lang w:val="uk-UA"/>
              </w:rPr>
              <w:t>,</w:t>
            </w:r>
            <w:r>
              <w:rPr>
                <w:rFonts w:ascii="Times New Roman" w:hAnsi="Times New Roman" w:cs="Times New Roman"/>
                <w:lang w:val="en-US"/>
              </w:rPr>
              <w:t>C</w:t>
            </w:r>
            <w:r>
              <w:rPr>
                <w:rFonts w:ascii="Times New Roman" w:hAnsi="Times New Roman" w:cs="Times New Roman"/>
                <w:lang w:val="uk-UA"/>
              </w:rPr>
              <w:t xml:space="preserve">)та </w:t>
            </w:r>
            <w:r>
              <w:rPr>
                <w:rFonts w:ascii="Times New Roman" w:hAnsi="Times New Roman" w:cs="Times New Roman"/>
                <w:lang w:val="en-US"/>
              </w:rPr>
              <w:t>II</w:t>
            </w:r>
            <w:r>
              <w:rPr>
                <w:rFonts w:ascii="Times New Roman" w:hAnsi="Times New Roman" w:cs="Times New Roman"/>
                <w:lang w:val="uk-UA"/>
              </w:rPr>
              <w:t xml:space="preserve"> (</w:t>
            </w:r>
            <w:r>
              <w:rPr>
                <w:rFonts w:ascii="Times New Roman" w:hAnsi="Times New Roman" w:cs="Times New Roman"/>
                <w:lang w:val="en-US"/>
              </w:rPr>
              <w:t>DRB</w:t>
            </w:r>
            <w:r>
              <w:rPr>
                <w:rFonts w:ascii="Times New Roman" w:hAnsi="Times New Roman" w:cs="Times New Roman"/>
                <w:lang w:val="uk-UA"/>
              </w:rPr>
              <w:t xml:space="preserve">1, </w:t>
            </w:r>
            <w:r>
              <w:rPr>
                <w:rFonts w:ascii="Times New Roman" w:hAnsi="Times New Roman" w:cs="Times New Roman"/>
                <w:lang w:val="en-US"/>
              </w:rPr>
              <w:t>DQB</w:t>
            </w:r>
            <w:r>
              <w:rPr>
                <w:rFonts w:ascii="Times New Roman" w:hAnsi="Times New Roman" w:cs="Times New Roman"/>
                <w:lang w:val="uk-UA"/>
              </w:rPr>
              <w:t>1) класів низької роздільної здатності (</w:t>
            </w:r>
            <w:r>
              <w:rPr>
                <w:rFonts w:ascii="Times New Roman" w:hAnsi="Times New Roman" w:cs="Times New Roman"/>
                <w:lang w:val="en-US"/>
              </w:rPr>
              <w:t>LR</w:t>
            </w:r>
            <w:r>
              <w:rPr>
                <w:rFonts w:ascii="Times New Roman" w:hAnsi="Times New Roman" w:cs="Times New Roman"/>
                <w:lang w:val="uk-UA"/>
              </w:rPr>
              <w:t>), ПЛР</w:t>
            </w:r>
          </w:p>
        </w:tc>
        <w:tc>
          <w:tcPr>
            <w:tcW w:w="1074" w:type="dxa"/>
            <w:shd w:val="clear" w:color="auto" w:fill="auto"/>
            <w:vAlign w:val="center"/>
          </w:tcPr>
          <w:p>
            <w:pPr>
              <w:spacing w:after="0" w:line="240" w:lineRule="auto"/>
              <w:jc w:val="center"/>
              <w:rPr>
                <w:rFonts w:ascii="Times New Roman" w:hAnsi="Times New Roman" w:cs="Times New Roman"/>
                <w:sz w:val="24"/>
                <w:szCs w:val="24"/>
                <w:lang w:val="uk-UA" w:bidi="en-US"/>
              </w:rPr>
            </w:pPr>
            <w:r>
              <w:rPr>
                <w:rFonts w:hint="default" w:ascii="Times New Roman" w:hAnsi="Times New Roman" w:eastAsia="Times New Roman" w:cs="Times New Roman"/>
                <w:lang w:val="uk-UA"/>
              </w:rPr>
              <w:t>послуга</w:t>
            </w:r>
          </w:p>
        </w:tc>
        <w:tc>
          <w:tcPr>
            <w:tcW w:w="930" w:type="dxa"/>
            <w:shd w:val="clear" w:color="auto" w:fill="auto"/>
            <w:vAlign w:val="center"/>
          </w:tcPr>
          <w:p>
            <w:pPr>
              <w:jc w:val="center"/>
              <w:rPr>
                <w:rFonts w:hint="default" w:ascii="Times New Roman" w:hAnsi="Times New Roman" w:cs="Times New Roman"/>
                <w:color w:val="000000"/>
                <w:sz w:val="24"/>
                <w:szCs w:val="24"/>
                <w:lang w:val="uk-UA"/>
              </w:rPr>
            </w:pPr>
            <w:r>
              <w:rPr>
                <w:rFonts w:ascii="Times New Roman" w:hAnsi="Times New Roman" w:cs="Times New Roman"/>
                <w:lang w:val="uk-UA"/>
              </w:rPr>
              <w:t>35</w:t>
            </w: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75" w:type="pct"/>
            <w:vAlign w:val="center"/>
          </w:tcPr>
          <w:p>
            <w:pPr>
              <w:spacing w:after="0" w:line="240" w:lineRule="auto"/>
              <w:jc w:val="center"/>
              <w:rPr>
                <w:rFonts w:ascii="Times New Roman" w:hAnsi="Times New Roman" w:cs="Times New Roman"/>
                <w:sz w:val="24"/>
                <w:szCs w:val="24"/>
                <w:lang w:val="uk-UA"/>
              </w:rPr>
            </w:pPr>
          </w:p>
        </w:tc>
        <w:tc>
          <w:tcPr>
            <w:tcW w:w="4416" w:type="dxa"/>
            <w:shd w:val="clear" w:color="auto" w:fill="auto"/>
            <w:vAlign w:val="top"/>
          </w:tcPr>
          <w:p>
            <w:pPr>
              <w:rPr>
                <w:rFonts w:ascii="Times New Roman" w:hAnsi="Times New Roman"/>
                <w:i/>
                <w:iCs/>
                <w:sz w:val="24"/>
                <w:szCs w:val="24"/>
                <w:lang w:val="uk-UA"/>
              </w:rPr>
            </w:pPr>
            <w:r>
              <w:rPr>
                <w:rFonts w:ascii="Times New Roman" w:hAnsi="Times New Roman" w:cs="Times New Roman"/>
                <w:lang w:val="en-US"/>
              </w:rPr>
              <w:t>HLA</w:t>
            </w:r>
            <w:r>
              <w:rPr>
                <w:rFonts w:ascii="Times New Roman" w:hAnsi="Times New Roman" w:cs="Times New Roman"/>
                <w:lang w:val="uk-UA"/>
              </w:rPr>
              <w:t xml:space="preserve"> типування </w:t>
            </w:r>
            <w:r>
              <w:rPr>
                <w:rFonts w:ascii="Times New Roman" w:hAnsi="Times New Roman" w:cs="Times New Roman"/>
                <w:lang w:val="en-US"/>
              </w:rPr>
              <w:t>I</w:t>
            </w:r>
            <w:r>
              <w:rPr>
                <w:rFonts w:ascii="Times New Roman" w:hAnsi="Times New Roman" w:cs="Times New Roman"/>
                <w:lang w:val="uk-UA"/>
              </w:rPr>
              <w:t xml:space="preserve"> (</w:t>
            </w:r>
            <w:r>
              <w:rPr>
                <w:rFonts w:ascii="Times New Roman" w:hAnsi="Times New Roman" w:cs="Times New Roman"/>
                <w:lang w:val="en-US"/>
              </w:rPr>
              <w:t>A</w:t>
            </w:r>
            <w:r>
              <w:rPr>
                <w:rFonts w:ascii="Times New Roman" w:hAnsi="Times New Roman" w:cs="Times New Roman"/>
                <w:lang w:val="uk-UA"/>
              </w:rPr>
              <w:t xml:space="preserve">, </w:t>
            </w:r>
            <w:r>
              <w:rPr>
                <w:rFonts w:ascii="Times New Roman" w:hAnsi="Times New Roman" w:cs="Times New Roman"/>
                <w:lang w:val="en-US"/>
              </w:rPr>
              <w:t>B</w:t>
            </w:r>
            <w:r>
              <w:rPr>
                <w:rFonts w:ascii="Times New Roman" w:hAnsi="Times New Roman" w:cs="Times New Roman"/>
                <w:lang w:val="uk-UA"/>
              </w:rPr>
              <w:t>,</w:t>
            </w:r>
            <w:r>
              <w:rPr>
                <w:rFonts w:ascii="Times New Roman" w:hAnsi="Times New Roman" w:cs="Times New Roman"/>
                <w:lang w:val="en-US"/>
              </w:rPr>
              <w:t>C</w:t>
            </w:r>
            <w:r>
              <w:rPr>
                <w:rFonts w:ascii="Times New Roman" w:hAnsi="Times New Roman" w:cs="Times New Roman"/>
                <w:lang w:val="uk-UA"/>
              </w:rPr>
              <w:t xml:space="preserve">)та </w:t>
            </w:r>
            <w:r>
              <w:rPr>
                <w:rFonts w:ascii="Times New Roman" w:hAnsi="Times New Roman" w:cs="Times New Roman"/>
                <w:lang w:val="en-US"/>
              </w:rPr>
              <w:t>II</w:t>
            </w:r>
            <w:r>
              <w:rPr>
                <w:rFonts w:ascii="Times New Roman" w:hAnsi="Times New Roman" w:cs="Times New Roman"/>
                <w:lang w:val="uk-UA"/>
              </w:rPr>
              <w:t xml:space="preserve"> (</w:t>
            </w:r>
            <w:r>
              <w:rPr>
                <w:rFonts w:ascii="Times New Roman" w:hAnsi="Times New Roman" w:cs="Times New Roman"/>
                <w:lang w:val="en-US"/>
              </w:rPr>
              <w:t>DRB</w:t>
            </w:r>
            <w:r>
              <w:rPr>
                <w:rFonts w:ascii="Times New Roman" w:hAnsi="Times New Roman" w:cs="Times New Roman"/>
                <w:lang w:val="uk-UA"/>
              </w:rPr>
              <w:t xml:space="preserve">1, </w:t>
            </w:r>
            <w:r>
              <w:rPr>
                <w:rFonts w:ascii="Times New Roman" w:hAnsi="Times New Roman" w:cs="Times New Roman"/>
                <w:lang w:val="en-US"/>
              </w:rPr>
              <w:t>DQB</w:t>
            </w:r>
            <w:r>
              <w:rPr>
                <w:rFonts w:ascii="Times New Roman" w:hAnsi="Times New Roman" w:cs="Times New Roman"/>
                <w:lang w:val="uk-UA"/>
              </w:rPr>
              <w:t>1) класів низької роздільної здатності (</w:t>
            </w:r>
            <w:r>
              <w:rPr>
                <w:rFonts w:ascii="Times New Roman" w:hAnsi="Times New Roman" w:cs="Times New Roman"/>
                <w:lang w:val="en-US"/>
              </w:rPr>
              <w:t>LR</w:t>
            </w:r>
            <w:r>
              <w:rPr>
                <w:rFonts w:ascii="Times New Roman" w:hAnsi="Times New Roman" w:cs="Times New Roman"/>
                <w:lang w:val="uk-UA"/>
              </w:rPr>
              <w:t>), ПЛР</w:t>
            </w:r>
            <w:r>
              <w:rPr>
                <w:rFonts w:hint="default" w:ascii="Times New Roman" w:hAnsi="Times New Roman" w:cs="Times New Roman"/>
                <w:lang w:val="uk-UA"/>
              </w:rPr>
              <w:t xml:space="preserve"> </w:t>
            </w:r>
            <w:r>
              <w:rPr>
                <w:rFonts w:ascii="Times New Roman" w:hAnsi="Times New Roman" w:cs="Times New Roman"/>
                <w:lang w:val="uk-UA"/>
              </w:rPr>
              <w:t>(для пари донор реципієнт)</w:t>
            </w:r>
          </w:p>
        </w:tc>
        <w:tc>
          <w:tcPr>
            <w:tcW w:w="1074" w:type="dxa"/>
            <w:shd w:val="clear" w:color="auto" w:fill="auto"/>
            <w:vAlign w:val="center"/>
          </w:tcPr>
          <w:p>
            <w:pPr>
              <w:spacing w:after="0" w:line="240" w:lineRule="auto"/>
              <w:jc w:val="center"/>
              <w:rPr>
                <w:rFonts w:ascii="Times New Roman" w:hAnsi="Times New Roman" w:cs="Times New Roman"/>
                <w:sz w:val="24"/>
                <w:szCs w:val="24"/>
                <w:lang w:val="uk-UA" w:bidi="en-US"/>
              </w:rPr>
            </w:pPr>
            <w:r>
              <w:rPr>
                <w:rFonts w:hint="default" w:ascii="Times New Roman" w:hAnsi="Times New Roman" w:eastAsia="Times New Roman" w:cs="Times New Roman"/>
                <w:lang w:val="uk-UA"/>
              </w:rPr>
              <w:t>послуга</w:t>
            </w:r>
          </w:p>
        </w:tc>
        <w:tc>
          <w:tcPr>
            <w:tcW w:w="930" w:type="dxa"/>
            <w:shd w:val="clear" w:color="auto" w:fill="auto"/>
            <w:vAlign w:val="center"/>
          </w:tcPr>
          <w:p>
            <w:pPr>
              <w:jc w:val="center"/>
              <w:rPr>
                <w:rFonts w:hint="default" w:ascii="Times New Roman" w:hAnsi="Times New Roman" w:cs="Times New Roman"/>
                <w:color w:val="000000"/>
                <w:sz w:val="24"/>
                <w:szCs w:val="24"/>
                <w:lang w:val="uk-UA"/>
              </w:rPr>
            </w:pPr>
            <w:r>
              <w:rPr>
                <w:rFonts w:ascii="Times New Roman" w:hAnsi="Times New Roman" w:cs="Times New Roman"/>
                <w:lang w:val="uk-UA"/>
              </w:rPr>
              <w:t>20</w:t>
            </w: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52"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D185E"/>
    <w:rsid w:val="001F6402"/>
    <w:rsid w:val="002439CA"/>
    <w:rsid w:val="00245534"/>
    <w:rsid w:val="00272351"/>
    <w:rsid w:val="002B495F"/>
    <w:rsid w:val="003B69F9"/>
    <w:rsid w:val="003E79E6"/>
    <w:rsid w:val="003F014F"/>
    <w:rsid w:val="00413E27"/>
    <w:rsid w:val="00472078"/>
    <w:rsid w:val="004A26FC"/>
    <w:rsid w:val="00510B6C"/>
    <w:rsid w:val="00553533"/>
    <w:rsid w:val="005C192D"/>
    <w:rsid w:val="00697697"/>
    <w:rsid w:val="00700757"/>
    <w:rsid w:val="00736095"/>
    <w:rsid w:val="00775B4E"/>
    <w:rsid w:val="007D470F"/>
    <w:rsid w:val="007D7F6F"/>
    <w:rsid w:val="0080246A"/>
    <w:rsid w:val="00835E8A"/>
    <w:rsid w:val="00875F01"/>
    <w:rsid w:val="008E34D0"/>
    <w:rsid w:val="00931108"/>
    <w:rsid w:val="00932290"/>
    <w:rsid w:val="009C12F3"/>
    <w:rsid w:val="009C2DE2"/>
    <w:rsid w:val="009C6AB1"/>
    <w:rsid w:val="009F56C3"/>
    <w:rsid w:val="00A91CB9"/>
    <w:rsid w:val="00AD1A81"/>
    <w:rsid w:val="00B12631"/>
    <w:rsid w:val="00B84C77"/>
    <w:rsid w:val="00B95736"/>
    <w:rsid w:val="00BD3BFD"/>
    <w:rsid w:val="00BF0C8C"/>
    <w:rsid w:val="00C76455"/>
    <w:rsid w:val="00CB2951"/>
    <w:rsid w:val="00CD3D3B"/>
    <w:rsid w:val="00D45E10"/>
    <w:rsid w:val="00D60C60"/>
    <w:rsid w:val="00DA56D9"/>
    <w:rsid w:val="00DE1635"/>
    <w:rsid w:val="00E31159"/>
    <w:rsid w:val="00E5288D"/>
    <w:rsid w:val="00E92543"/>
    <w:rsid w:val="00F163FE"/>
    <w:rsid w:val="00F36A80"/>
    <w:rsid w:val="00F76B8C"/>
    <w:rsid w:val="00F964D4"/>
    <w:rsid w:val="00FB0888"/>
    <w:rsid w:val="00FE752E"/>
    <w:rsid w:val="00FF7F97"/>
    <w:rsid w:val="01211555"/>
    <w:rsid w:val="04446205"/>
    <w:rsid w:val="07E6312F"/>
    <w:rsid w:val="12ED1816"/>
    <w:rsid w:val="16C3120C"/>
    <w:rsid w:val="19B25E0C"/>
    <w:rsid w:val="22AB3786"/>
    <w:rsid w:val="28686F3D"/>
    <w:rsid w:val="2B0D772C"/>
    <w:rsid w:val="36496FA8"/>
    <w:rsid w:val="3A74177B"/>
    <w:rsid w:val="3C655A64"/>
    <w:rsid w:val="3F345815"/>
    <w:rsid w:val="3F716906"/>
    <w:rsid w:val="42E632B1"/>
    <w:rsid w:val="43551B94"/>
    <w:rsid w:val="450665E4"/>
    <w:rsid w:val="45156827"/>
    <w:rsid w:val="45C06CBB"/>
    <w:rsid w:val="4A05330E"/>
    <w:rsid w:val="562A4416"/>
    <w:rsid w:val="5E3B2A02"/>
    <w:rsid w:val="5FC23BC4"/>
    <w:rsid w:val="632C7347"/>
    <w:rsid w:val="63FA3A9D"/>
    <w:rsid w:val="689773CF"/>
    <w:rsid w:val="72DB7874"/>
    <w:rsid w:val="747D5929"/>
    <w:rsid w:val="755868B8"/>
    <w:rsid w:val="7CE16A1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8042</Words>
  <Characters>4584</Characters>
  <Lines>38</Lines>
  <Paragraphs>25</Paragraphs>
  <TotalTime>1</TotalTime>
  <ScaleCrop>false</ScaleCrop>
  <LinksUpToDate>false</LinksUpToDate>
  <CharactersWithSpaces>12601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2022-01-04T15:22:00Z</dcterms:created>
  <dc:creator>Пользователь Windows</dc:creator>
  <cp:lastModifiedBy>Kabinet_812_2</cp:lastModifiedBy>
  <cp:lastPrinted>2022-02-21T09:57:00Z</cp:lastPrinted>
  <dcterms:modified xsi:type="dcterms:W3CDTF">2023-03-29T12:35:27Z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105FD84684E74103A79382FE6DCBD8A3</vt:lpwstr>
  </property>
</Properties>
</file>