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Сергій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;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Володимир </w:t>
      </w:r>
      <w:proofErr w:type="spellStart"/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>Корчицький</w:t>
      </w:r>
      <w:proofErr w:type="spellEnd"/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телефон +38(067) 6720102,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2F369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</w:t>
      </w:r>
      <w:r w:rsidR="008853D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2 0</w:t>
      </w:r>
      <w:r w:rsidR="003660F7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8853D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двадцять</w:t>
      </w:r>
      <w:r w:rsidR="002F369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дві </w:t>
      </w:r>
      <w:r w:rsidR="003660F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тисяч</w:t>
      </w:r>
      <w:r w:rsidR="002F369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і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8853D6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6" w:name="_Hlk156489042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Сейфи для документів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</w:p>
    <w:p w:rsidR="00993D10" w:rsidRDefault="008853D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Шафа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офісна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картотечна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файлова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зберігання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замком на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секції</w:t>
      </w:r>
      <w:proofErr w:type="spellEnd"/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C6414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типу ШФ 4А</w:t>
      </w:r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– </w:t>
      </w:r>
      <w:r w:rsidR="002F369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2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bookmarkEnd w:id="6"/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2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одиниц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і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131156" w:rsidRPr="00131156">
        <w:rPr>
          <w:rFonts w:ascii="Times New Roman" w:hAnsi="Times New Roman"/>
          <w:i/>
          <w:color w:val="000000"/>
          <w:sz w:val="24"/>
          <w:szCs w:val="24"/>
          <w:lang w:val="ru-RU"/>
        </w:rPr>
        <w:t>30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131156" w:rsidRPr="00131156">
        <w:rPr>
          <w:rFonts w:ascii="Times New Roman" w:hAnsi="Times New Roman"/>
          <w:i/>
          <w:color w:val="000000"/>
          <w:sz w:val="24"/>
          <w:szCs w:val="24"/>
          <w:lang w:val="ru-RU"/>
        </w:rPr>
        <w:t>6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  <w:bookmarkStart w:id="7" w:name="_GoBack"/>
      <w:bookmarkEnd w:id="7"/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8" w:name="74"/>
      <w:bookmarkStart w:id="9" w:name="91"/>
      <w:bookmarkStart w:id="10" w:name="92"/>
      <w:bookmarkEnd w:id="8"/>
      <w:bookmarkEnd w:id="9"/>
      <w:bookmarkEnd w:id="10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8853D6" w:rsidRDefault="008853D6" w:rsidP="008853D6">
      <w:pPr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Сейфи для документів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</w:p>
    <w:p w:rsidR="008853D6" w:rsidRDefault="008853D6" w:rsidP="008853D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Шафа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офісна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картотечна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файлова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зберігання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замком на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секції</w:t>
      </w:r>
      <w:proofErr w:type="spellEnd"/>
      <w:r w:rsid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</w:t>
      </w:r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исота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1335 мм,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глибина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602 мм, ширина 495 мм,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кількість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комірок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4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C64143" w:rsidRPr="00C6414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типу ШФ 4А 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– </w:t>
      </w:r>
      <w:r w:rsidR="002F369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штук</w:t>
      </w:r>
      <w:r w:rsidR="002F369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Default="00A83A7C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E855AA" w:rsidP="002F36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64143" w:rsidRPr="00C6414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типу ШФ 4А 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Висота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1335 мм, </w:t>
            </w:r>
            <w:proofErr w:type="spellStart"/>
            <w:proofErr w:type="gram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602</w:t>
            </w:r>
            <w:proofErr w:type="gram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ширина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495,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комірок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4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2F369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закупівель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79197D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закупівель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r w:rsidR="002F3696">
        <w:rPr>
          <w:color w:val="000000"/>
          <w:lang w:val="uk-UA"/>
        </w:rPr>
        <w:t>____________________________</w:t>
      </w:r>
      <w:r w:rsidRPr="00F27985">
        <w:rPr>
          <w:color w:val="000000"/>
          <w:lang w:val="uk-UA"/>
        </w:rPr>
        <w:t xml:space="preserve">, що діє на підставі </w:t>
      </w:r>
      <w:r w:rsidR="002F3696">
        <w:rPr>
          <w:color w:val="000000" w:themeColor="text1"/>
          <w:lang w:val="uk-UA"/>
        </w:rPr>
        <w:t>_______________________________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11" w:name="_Hlk144821776"/>
      <w:bookmarkStart w:id="12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3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6560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Металева шафа </w:t>
      </w:r>
      <w:r w:rsidR="00E855AA" w:rsidRPr="00E85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для</w:t>
      </w:r>
      <w:r w:rsidR="006560C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зберігання архівних</w:t>
      </w:r>
      <w:r w:rsidR="00E855AA" w:rsidRPr="00E85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документів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3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1"/>
      <w:r w:rsidR="00E855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2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</w:t>
      </w:r>
      <w:r w:rsidRPr="002F1B72">
        <w:rPr>
          <w:rFonts w:ascii="Times New Roman" w:hAnsi="Times New Roman"/>
          <w:sz w:val="24"/>
          <w:szCs w:val="24"/>
        </w:rPr>
        <w:lastRenderedPageBreak/>
        <w:t>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Pr="00E855AA" w:rsidRDefault="00E855AA" w:rsidP="00E855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97839" w:rsidRPr="00E855AA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5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2F3696" w:rsidRPr="00A8613E" w:rsidRDefault="002F3696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696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2F3696">
              <w:rPr>
                <w:rFonts w:ascii="Times New Roman" w:hAnsi="Times New Roman"/>
                <w:sz w:val="24"/>
                <w:szCs w:val="24"/>
              </w:rPr>
              <w:tab/>
              <w:t>UA648201720343151002100000743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067C57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2F3696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4"/>
      <w:bookmarkEnd w:id="15"/>
      <w:bookmarkEnd w:id="16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E855AA" w:rsidRPr="00522D9B" w:rsidTr="00E53918">
        <w:trPr>
          <w:jc w:val="center"/>
        </w:trPr>
        <w:tc>
          <w:tcPr>
            <w:tcW w:w="617" w:type="dxa"/>
            <w:vAlign w:val="center"/>
          </w:tcPr>
          <w:p w:rsidR="00E855AA" w:rsidRPr="00522D9B" w:rsidRDefault="00E855AA" w:rsidP="00E85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E855AA" w:rsidRPr="001001D6" w:rsidRDefault="00E855AA" w:rsidP="004F7A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C64143">
              <w:t xml:space="preserve"> </w:t>
            </w:r>
          </w:p>
        </w:tc>
        <w:tc>
          <w:tcPr>
            <w:tcW w:w="850" w:type="dxa"/>
          </w:tcPr>
          <w:p w:rsidR="00E855AA" w:rsidRPr="00522D9B" w:rsidRDefault="00E855AA" w:rsidP="00E85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E855AA" w:rsidRPr="00597839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5AA" w:rsidRPr="00522D9B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55AA" w:rsidRPr="00522D9B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2F3696" w:rsidRPr="00B3767A" w:rsidRDefault="002F3696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067C57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96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E855AA" w:rsidRPr="007C4F37" w:rsidTr="002C0C30">
        <w:tc>
          <w:tcPr>
            <w:tcW w:w="568" w:type="dxa"/>
            <w:noWrap/>
            <w:vAlign w:val="center"/>
          </w:tcPr>
          <w:p w:rsidR="00E855AA" w:rsidRPr="007C4F37" w:rsidRDefault="00E855AA" w:rsidP="00E85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E855AA" w:rsidRPr="001001D6" w:rsidRDefault="00E855AA" w:rsidP="00E855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C64143">
              <w:t xml:space="preserve"> </w:t>
            </w:r>
            <w:r w:rsidR="00C64143" w:rsidRPr="00C6414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типу ШФ 4А</w:t>
            </w:r>
          </w:p>
        </w:tc>
        <w:tc>
          <w:tcPr>
            <w:tcW w:w="3260" w:type="dxa"/>
          </w:tcPr>
          <w:p w:rsidR="00E855AA" w:rsidRPr="007C4F37" w:rsidRDefault="00E855AA" w:rsidP="00E855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Висота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1335 мм, глибина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ширина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, кількість комірок 4</w:t>
            </w:r>
          </w:p>
        </w:tc>
        <w:tc>
          <w:tcPr>
            <w:tcW w:w="1985" w:type="dxa"/>
            <w:noWrap/>
            <w:vAlign w:val="center"/>
          </w:tcPr>
          <w:p w:rsidR="00E855AA" w:rsidRPr="007C4F37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5AA" w:rsidRPr="007C4F37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2F3696" w:rsidRPr="00B3767A" w:rsidRDefault="002F3696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067C57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2F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96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57" w:rsidRDefault="00067C57">
      <w:pPr>
        <w:spacing w:after="0" w:line="240" w:lineRule="auto"/>
      </w:pPr>
      <w:r>
        <w:separator/>
      </w:r>
    </w:p>
  </w:endnote>
  <w:endnote w:type="continuationSeparator" w:id="0">
    <w:p w:rsidR="00067C57" w:rsidRDefault="000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156">
      <w:rPr>
        <w:noProof/>
      </w:rPr>
      <w:t>10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57" w:rsidRDefault="00067C57">
      <w:pPr>
        <w:spacing w:after="0" w:line="240" w:lineRule="auto"/>
      </w:pPr>
      <w:r>
        <w:separator/>
      </w:r>
    </w:p>
  </w:footnote>
  <w:footnote w:type="continuationSeparator" w:id="0">
    <w:p w:rsidR="00067C57" w:rsidRDefault="000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67C57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1156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2F3696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86CF3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4F7ABB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560CA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8692A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53D6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8F2058"/>
    <w:rsid w:val="00901EEF"/>
    <w:rsid w:val="0090728F"/>
    <w:rsid w:val="00910EDA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BE7160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64143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031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97FB5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855AA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06DC1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F0A8-D95F-4B8B-9A35-4B0B5F29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3553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Sony</cp:lastModifiedBy>
  <cp:revision>7</cp:revision>
  <dcterms:created xsi:type="dcterms:W3CDTF">2024-03-28T13:32:00Z</dcterms:created>
  <dcterms:modified xsi:type="dcterms:W3CDTF">2024-04-11T13:05:00Z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