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C7" w:rsidRPr="003F7B2F" w:rsidRDefault="005C5AC7" w:rsidP="005C5AC7">
      <w:pPr>
        <w:jc w:val="right"/>
        <w:rPr>
          <w:b/>
          <w:color w:val="000000" w:themeColor="text1"/>
          <w:sz w:val="24"/>
          <w:szCs w:val="24"/>
        </w:rPr>
      </w:pPr>
      <w:r w:rsidRPr="003F7B2F">
        <w:rPr>
          <w:b/>
          <w:color w:val="000000" w:themeColor="text1"/>
          <w:sz w:val="24"/>
          <w:szCs w:val="24"/>
        </w:rPr>
        <w:t>Додаток 3</w:t>
      </w:r>
    </w:p>
    <w:p w:rsidR="005C5AC7" w:rsidRPr="003F7B2F" w:rsidRDefault="005C5AC7" w:rsidP="005C5AC7">
      <w:pPr>
        <w:jc w:val="right"/>
        <w:rPr>
          <w:b/>
          <w:color w:val="000000" w:themeColor="text1"/>
          <w:sz w:val="24"/>
          <w:szCs w:val="24"/>
        </w:rPr>
      </w:pPr>
      <w:r w:rsidRPr="003F7B2F">
        <w:rPr>
          <w:b/>
          <w:color w:val="000000" w:themeColor="text1"/>
          <w:sz w:val="24"/>
          <w:szCs w:val="24"/>
        </w:rPr>
        <w:t>до Тендерної документації</w:t>
      </w:r>
    </w:p>
    <w:p w:rsidR="005C5AC7" w:rsidRPr="003F7B2F" w:rsidRDefault="005C5AC7" w:rsidP="005C5AC7">
      <w:pPr>
        <w:jc w:val="both"/>
        <w:rPr>
          <w:b/>
          <w:color w:val="000000" w:themeColor="text1"/>
          <w:sz w:val="24"/>
          <w:szCs w:val="24"/>
        </w:rPr>
      </w:pPr>
    </w:p>
    <w:p w:rsidR="005C5AC7" w:rsidRPr="003F7B2F" w:rsidRDefault="005C5AC7" w:rsidP="005C5AC7">
      <w:pPr>
        <w:widowControl w:val="0"/>
        <w:shd w:val="clear" w:color="auto" w:fill="FFFFFF"/>
        <w:suppressAutoHyphens/>
        <w:ind w:left="34" w:right="1"/>
        <w:jc w:val="center"/>
        <w:rPr>
          <w:rFonts w:cs="Tahoma"/>
          <w:b/>
          <w:bCs/>
          <w:kern w:val="2"/>
          <w:sz w:val="24"/>
          <w:szCs w:val="24"/>
          <w:lang w:eastAsia="hi-IN" w:bidi="hi-IN"/>
        </w:rPr>
      </w:pPr>
      <w:r w:rsidRPr="003F7B2F">
        <w:rPr>
          <w:rFonts w:cs="Tahoma"/>
          <w:b/>
          <w:bCs/>
          <w:kern w:val="2"/>
          <w:sz w:val="24"/>
          <w:szCs w:val="24"/>
          <w:lang w:eastAsia="hi-IN" w:bidi="hi-IN"/>
        </w:rPr>
        <w:t>ТЕХНІЧНА СПЕЦИФІКАЦІЯ</w:t>
      </w:r>
    </w:p>
    <w:p w:rsidR="005C5AC7" w:rsidRPr="003F7B2F" w:rsidRDefault="005C5AC7" w:rsidP="005C5AC7">
      <w:pPr>
        <w:widowControl w:val="0"/>
        <w:shd w:val="clear" w:color="auto" w:fill="FFFFFF"/>
        <w:suppressAutoHyphens/>
        <w:ind w:left="34" w:right="1"/>
        <w:jc w:val="center"/>
        <w:rPr>
          <w:rFonts w:cs="Tahoma"/>
          <w:b/>
          <w:bCs/>
          <w:kern w:val="2"/>
          <w:sz w:val="24"/>
          <w:szCs w:val="24"/>
          <w:lang w:eastAsia="hi-IN" w:bidi="hi-IN"/>
        </w:rPr>
      </w:pPr>
      <w:r w:rsidRPr="003F7B2F">
        <w:rPr>
          <w:rFonts w:cs="Tahoma"/>
          <w:b/>
          <w:bCs/>
          <w:kern w:val="2"/>
          <w:sz w:val="24"/>
          <w:szCs w:val="24"/>
          <w:lang w:eastAsia="hi-IN" w:bidi="hi-IN"/>
        </w:rPr>
        <w:t xml:space="preserve">(ІНФОРМАЦІЯ ПРО НЕОБХІДНІ ТЕХНІЧНІ, ЯКІСНІ </w:t>
      </w:r>
    </w:p>
    <w:p w:rsidR="005C5AC7" w:rsidRPr="003F7B2F" w:rsidRDefault="005C5AC7" w:rsidP="005C5AC7">
      <w:pPr>
        <w:widowControl w:val="0"/>
        <w:shd w:val="clear" w:color="auto" w:fill="FFFFFF"/>
        <w:suppressAutoHyphens/>
        <w:ind w:left="34" w:right="1"/>
        <w:jc w:val="center"/>
        <w:rPr>
          <w:rFonts w:cs="Tahoma"/>
          <w:b/>
          <w:bCs/>
          <w:kern w:val="2"/>
          <w:sz w:val="24"/>
          <w:szCs w:val="24"/>
          <w:lang w:eastAsia="hi-IN" w:bidi="hi-IN"/>
        </w:rPr>
      </w:pPr>
      <w:r w:rsidRPr="003F7B2F">
        <w:rPr>
          <w:rFonts w:cs="Tahoma"/>
          <w:b/>
          <w:bCs/>
          <w:kern w:val="2"/>
          <w:sz w:val="24"/>
          <w:szCs w:val="24"/>
          <w:lang w:eastAsia="hi-IN" w:bidi="hi-IN"/>
        </w:rPr>
        <w:t>ТА КІЛЬКІСНІ ХАРАКТЕРИСТИКИ ПРЕДМЕТА ЗАКУПІВЛІ)</w:t>
      </w:r>
    </w:p>
    <w:p w:rsidR="005C5AC7" w:rsidRPr="003F7B2F" w:rsidRDefault="005C5AC7" w:rsidP="005C5AC7">
      <w:pPr>
        <w:widowControl w:val="0"/>
        <w:shd w:val="clear" w:color="auto" w:fill="FFFFFF"/>
        <w:suppressAutoHyphens/>
        <w:ind w:left="34" w:right="1"/>
        <w:rPr>
          <w:rFonts w:cs="Tahoma"/>
          <w:b/>
          <w:bCs/>
          <w:kern w:val="2"/>
          <w:sz w:val="24"/>
          <w:szCs w:val="24"/>
          <w:lang w:eastAsia="hi-IN" w:bidi="hi-IN"/>
        </w:rPr>
      </w:pPr>
    </w:p>
    <w:p w:rsidR="005C5AC7" w:rsidRPr="003F7B2F" w:rsidRDefault="005C5AC7" w:rsidP="005C5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center"/>
        <w:rPr>
          <w:b/>
          <w:bCs/>
          <w:kern w:val="2"/>
          <w:sz w:val="24"/>
          <w:szCs w:val="24"/>
          <w:lang w:eastAsia="ru-RU" w:bidi="hi-IN"/>
        </w:rPr>
      </w:pPr>
      <w:r w:rsidRPr="003F7B2F">
        <w:rPr>
          <w:b/>
          <w:bCs/>
          <w:kern w:val="2"/>
          <w:sz w:val="24"/>
          <w:szCs w:val="24"/>
          <w:lang w:eastAsia="hi-IN" w:bidi="hi-IN"/>
        </w:rPr>
        <w:t>ТЕХНІЧНІ ВИМОГИ</w:t>
      </w:r>
    </w:p>
    <w:p w:rsidR="005C5AC7" w:rsidRPr="003F7B2F" w:rsidRDefault="005C5AC7" w:rsidP="005C5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center"/>
        <w:rPr>
          <w:b/>
          <w:bCs/>
          <w:kern w:val="2"/>
          <w:sz w:val="24"/>
          <w:szCs w:val="24"/>
          <w:lang w:eastAsia="hi-IN" w:bidi="hi-IN"/>
        </w:rPr>
      </w:pPr>
      <w:r w:rsidRPr="003F7B2F">
        <w:rPr>
          <w:b/>
          <w:bCs/>
          <w:kern w:val="2"/>
          <w:sz w:val="24"/>
          <w:szCs w:val="24"/>
          <w:lang w:eastAsia="hi-IN" w:bidi="hi-IN"/>
        </w:rPr>
        <w:t>на закупівлю товару:</w:t>
      </w:r>
    </w:p>
    <w:p w:rsidR="005C5AC7" w:rsidRDefault="005C5AC7" w:rsidP="00633E3F">
      <w:pPr>
        <w:widowControl w:val="0"/>
        <w:tabs>
          <w:tab w:val="left" w:pos="0"/>
        </w:tabs>
        <w:suppressAutoHyphens/>
        <w:jc w:val="center"/>
        <w:rPr>
          <w:b/>
          <w:sz w:val="24"/>
          <w:szCs w:val="24"/>
          <w:bdr w:val="none" w:sz="0" w:space="0" w:color="auto" w:frame="1"/>
          <w:shd w:val="clear" w:color="auto" w:fill="FFFFFF"/>
        </w:rPr>
      </w:pPr>
      <w:proofErr w:type="spellStart"/>
      <w:r w:rsidRPr="003F7B2F">
        <w:rPr>
          <w:b/>
          <w:bCs/>
          <w:kern w:val="2"/>
          <w:sz w:val="24"/>
          <w:szCs w:val="24"/>
          <w:lang w:eastAsia="hi-IN" w:bidi="hi-IN"/>
        </w:rPr>
        <w:t>ДК</w:t>
      </w:r>
      <w:proofErr w:type="spellEnd"/>
      <w:r w:rsidRPr="003F7B2F">
        <w:rPr>
          <w:b/>
          <w:bCs/>
          <w:kern w:val="2"/>
          <w:sz w:val="24"/>
          <w:szCs w:val="24"/>
          <w:lang w:eastAsia="hi-IN" w:bidi="hi-IN"/>
        </w:rPr>
        <w:t xml:space="preserve"> 021:2015:</w:t>
      </w:r>
      <w:r w:rsidR="007E708E">
        <w:rPr>
          <w:b/>
          <w:bCs/>
          <w:kern w:val="2"/>
          <w:sz w:val="24"/>
          <w:szCs w:val="24"/>
          <w:lang w:eastAsia="hi-IN" w:bidi="hi-IN"/>
        </w:rPr>
        <w:t xml:space="preserve"> </w:t>
      </w:r>
      <w:r w:rsidR="00633E3F" w:rsidRPr="00C17385">
        <w:rPr>
          <w:b/>
          <w:sz w:val="24"/>
          <w:szCs w:val="24"/>
          <w:bdr w:val="none" w:sz="0" w:space="0" w:color="auto" w:frame="1"/>
          <w:shd w:val="clear" w:color="auto" w:fill="FFFFFF"/>
        </w:rPr>
        <w:t>43260000-3</w:t>
      </w:r>
      <w:r w:rsidR="00633E3F" w:rsidRPr="00C17385">
        <w:rPr>
          <w:b/>
          <w:sz w:val="24"/>
          <w:szCs w:val="24"/>
          <w:shd w:val="clear" w:color="auto" w:fill="FFFFFF"/>
        </w:rPr>
        <w:t> - </w:t>
      </w:r>
      <w:r w:rsidR="00633E3F" w:rsidRPr="00C17385">
        <w:rPr>
          <w:b/>
          <w:sz w:val="24"/>
          <w:szCs w:val="24"/>
          <w:bdr w:val="none" w:sz="0" w:space="0" w:color="auto" w:frame="1"/>
          <w:shd w:val="clear" w:color="auto" w:fill="FFFFFF"/>
        </w:rPr>
        <w:t>Механічні лопати, екскаватори та ковшові навантажувачі, гірнича техніка</w:t>
      </w:r>
      <w:r w:rsidR="00633E3F">
        <w:rPr>
          <w:b/>
          <w:sz w:val="24"/>
          <w:szCs w:val="24"/>
          <w:bdr w:val="none" w:sz="0" w:space="0" w:color="auto" w:frame="1"/>
          <w:shd w:val="clear" w:color="auto" w:fill="FFFFFF"/>
        </w:rPr>
        <w:t xml:space="preserve"> (екскаватор-навантажувач)</w:t>
      </w:r>
    </w:p>
    <w:p w:rsidR="00633E3F" w:rsidRDefault="00633E3F" w:rsidP="00633E3F">
      <w:pPr>
        <w:widowControl w:val="0"/>
        <w:tabs>
          <w:tab w:val="left" w:pos="0"/>
        </w:tabs>
        <w:suppressAutoHyphens/>
        <w:jc w:val="center"/>
        <w:rPr>
          <w:b/>
          <w:sz w:val="24"/>
          <w:szCs w:val="24"/>
          <w:bdr w:val="none" w:sz="0" w:space="0" w:color="auto" w:frame="1"/>
          <w:shd w:val="clear" w:color="auto" w:fill="FFFFFF"/>
        </w:rPr>
      </w:pPr>
    </w:p>
    <w:tbl>
      <w:tblPr>
        <w:tblW w:w="10364" w:type="dxa"/>
        <w:jc w:val="center"/>
        <w:tblLayout w:type="fixed"/>
        <w:tblCellMar>
          <w:left w:w="10" w:type="dxa"/>
          <w:right w:w="10" w:type="dxa"/>
        </w:tblCellMar>
        <w:tblLook w:val="0000"/>
      </w:tblPr>
      <w:tblGrid>
        <w:gridCol w:w="583"/>
        <w:gridCol w:w="8222"/>
        <w:gridCol w:w="1559"/>
      </w:tblGrid>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Standard"/>
              <w:jc w:val="center"/>
              <w:rPr>
                <w:rFonts w:ascii="Times New Roman" w:hAnsi="Times New Roman" w:cs="Times New Roman"/>
                <w:b/>
                <w:sz w:val="22"/>
                <w:szCs w:val="22"/>
                <w:lang w:val="uk-UA"/>
              </w:rPr>
            </w:pPr>
            <w:r w:rsidRPr="00633E3F">
              <w:rPr>
                <w:rFonts w:ascii="Times New Roman" w:hAnsi="Times New Roman" w:cs="Times New Roman"/>
                <w:b/>
                <w:sz w:val="22"/>
                <w:szCs w:val="22"/>
                <w:lang w:val="uk-UA"/>
              </w:rPr>
              <w:t>№ з/п</w:t>
            </w: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33E3F" w:rsidRPr="00633E3F" w:rsidRDefault="00633E3F" w:rsidP="00633E3F">
            <w:pPr>
              <w:pStyle w:val="Standard"/>
              <w:jc w:val="center"/>
              <w:rPr>
                <w:rFonts w:ascii="Times New Roman" w:hAnsi="Times New Roman" w:cs="Times New Roman"/>
                <w:b/>
                <w:lang w:val="uk-UA"/>
              </w:rPr>
            </w:pPr>
            <w:r w:rsidRPr="00633E3F">
              <w:rPr>
                <w:rFonts w:ascii="Times New Roman" w:hAnsi="Times New Roman" w:cs="Times New Roman"/>
                <w:b/>
                <w:lang w:val="uk-UA"/>
              </w:rPr>
              <w:t>Вимоги замовника</w:t>
            </w:r>
          </w:p>
          <w:p w:rsidR="00633E3F" w:rsidRPr="00633E3F" w:rsidRDefault="00633E3F" w:rsidP="00633E3F">
            <w:pPr>
              <w:pStyle w:val="Standard"/>
              <w:jc w:val="center"/>
              <w:rPr>
                <w:rFonts w:ascii="Times New Roman" w:hAnsi="Times New Roman" w:cs="Times New Roman"/>
                <w:b/>
                <w:sz w:val="22"/>
                <w:szCs w:val="22"/>
                <w:lang w:val="uk-UA"/>
              </w:rPr>
            </w:pPr>
            <w:r w:rsidRPr="00633E3F">
              <w:rPr>
                <w:rFonts w:ascii="Times New Roman" w:hAnsi="Times New Roman" w:cs="Times New Roman"/>
                <w:b/>
                <w:sz w:val="22"/>
                <w:szCs w:val="22"/>
                <w:lang w:val="uk-UA"/>
              </w:rPr>
              <w:t>Найменування технічних та якісних характеристик</w:t>
            </w:r>
          </w:p>
        </w:tc>
        <w:tc>
          <w:tcPr>
            <w:tcW w:w="1559" w:type="dxa"/>
            <w:tcBorders>
              <w:top w:val="single" w:sz="4" w:space="0" w:color="00000A"/>
              <w:left w:val="single" w:sz="4" w:space="0" w:color="00000A"/>
              <w:bottom w:val="single" w:sz="4" w:space="0" w:color="00000A"/>
              <w:right w:val="single" w:sz="4" w:space="0" w:color="00000A"/>
            </w:tcBorders>
          </w:tcPr>
          <w:p w:rsidR="00633E3F" w:rsidRPr="00633E3F" w:rsidRDefault="00633E3F" w:rsidP="00286AB2">
            <w:pPr>
              <w:ind w:right="-108"/>
              <w:jc w:val="center"/>
              <w:rPr>
                <w:b/>
                <w:sz w:val="24"/>
                <w:szCs w:val="24"/>
                <w:highlight w:val="yellow"/>
              </w:rPr>
            </w:pPr>
            <w:r w:rsidRPr="00633E3F">
              <w:rPr>
                <w:b/>
                <w:sz w:val="24"/>
                <w:szCs w:val="24"/>
              </w:rPr>
              <w:t>Пропозиція Учасника</w:t>
            </w: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Екскаватор-навантажувач –  повинний бути новим, не раніше 2022 року випуску</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Кількість –  1 од.</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1037C0">
            <w:pPr>
              <w:rPr>
                <w:sz w:val="22"/>
                <w:szCs w:val="22"/>
              </w:rPr>
            </w:pPr>
            <w:r w:rsidRPr="00633E3F">
              <w:rPr>
                <w:sz w:val="22"/>
                <w:szCs w:val="22"/>
              </w:rPr>
              <w:t xml:space="preserve">Екскаватор-навантажувач на шасі з пневмоколісним ходом, приводом на всі колеса та </w:t>
            </w:r>
            <w:proofErr w:type="spellStart"/>
            <w:r w:rsidRPr="00633E3F">
              <w:rPr>
                <w:sz w:val="22"/>
                <w:szCs w:val="22"/>
              </w:rPr>
              <w:t>гідропідсилювачем</w:t>
            </w:r>
            <w:proofErr w:type="spellEnd"/>
            <w:r w:rsidRPr="00633E3F">
              <w:rPr>
                <w:sz w:val="22"/>
                <w:szCs w:val="22"/>
              </w:rPr>
              <w:t xml:space="preserve"> керма</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 xml:space="preserve">Дизельний 4-х циліндровий двигун, з прямим </w:t>
            </w:r>
            <w:proofErr w:type="spellStart"/>
            <w:r w:rsidRPr="00633E3F">
              <w:rPr>
                <w:sz w:val="22"/>
                <w:szCs w:val="22"/>
              </w:rPr>
              <w:t>вприском</w:t>
            </w:r>
            <w:proofErr w:type="spellEnd"/>
            <w:r w:rsidRPr="00633E3F">
              <w:rPr>
                <w:sz w:val="22"/>
                <w:szCs w:val="22"/>
              </w:rPr>
              <w:t xml:space="preserve"> палива, з </w:t>
            </w:r>
            <w:proofErr w:type="spellStart"/>
            <w:r w:rsidRPr="00633E3F">
              <w:rPr>
                <w:sz w:val="22"/>
                <w:szCs w:val="22"/>
              </w:rPr>
              <w:t>турбонаддувом</w:t>
            </w:r>
            <w:proofErr w:type="spellEnd"/>
            <w:r w:rsidRPr="00633E3F">
              <w:rPr>
                <w:sz w:val="22"/>
                <w:szCs w:val="22"/>
              </w:rPr>
              <w:t xml:space="preserve"> (не нижче ЄВРО 2),   потужністю не меншою 68,5 кВт (92,0 </w:t>
            </w:r>
            <w:proofErr w:type="spellStart"/>
            <w:r w:rsidRPr="00633E3F">
              <w:rPr>
                <w:sz w:val="22"/>
                <w:szCs w:val="22"/>
              </w:rPr>
              <w:t>к.с</w:t>
            </w:r>
            <w:proofErr w:type="spellEnd"/>
            <w:r w:rsidRPr="00633E3F">
              <w:rPr>
                <w:sz w:val="22"/>
                <w:szCs w:val="22"/>
              </w:rPr>
              <w:t>.), робочим об’ємом 4400-4450 см куб.</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6D0D90">
            <w:pPr>
              <w:rPr>
                <w:sz w:val="22"/>
                <w:szCs w:val="22"/>
              </w:rPr>
            </w:pPr>
            <w:r w:rsidRPr="00633E3F">
              <w:rPr>
                <w:sz w:val="22"/>
                <w:szCs w:val="22"/>
              </w:rPr>
              <w:t>Т</w:t>
            </w:r>
            <w:r w:rsidR="006D0D90">
              <w:rPr>
                <w:sz w:val="22"/>
                <w:szCs w:val="22"/>
              </w:rPr>
              <w:t xml:space="preserve">ранспортна висота, </w:t>
            </w:r>
            <w:r w:rsidR="006D0D90" w:rsidRPr="00FC0222">
              <w:rPr>
                <w:b/>
                <w:sz w:val="22"/>
                <w:szCs w:val="22"/>
              </w:rPr>
              <w:t>не більше 3850</w:t>
            </w:r>
            <w:r w:rsidRPr="00FC0222">
              <w:rPr>
                <w:b/>
                <w:sz w:val="22"/>
                <w:szCs w:val="22"/>
              </w:rPr>
              <w:t xml:space="preserve"> мм.</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 xml:space="preserve">Кабіна оператора має бути обладнана пристроєм ROPS/FOPS. </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Кабіна екскаватора має бути обладнана кондиціонером.</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proofErr w:type="spellStart"/>
            <w:r w:rsidRPr="00633E3F">
              <w:rPr>
                <w:sz w:val="22"/>
                <w:szCs w:val="22"/>
              </w:rPr>
              <w:t>Аудіопідготовка</w:t>
            </w:r>
            <w:bookmarkStart w:id="0" w:name="_GoBack"/>
            <w:bookmarkEnd w:id="0"/>
            <w:proofErr w:type="spellEnd"/>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jc w:val="both"/>
              <w:rPr>
                <w:sz w:val="22"/>
                <w:szCs w:val="22"/>
              </w:rPr>
            </w:pPr>
            <w:r w:rsidRPr="00633E3F">
              <w:rPr>
                <w:sz w:val="22"/>
                <w:szCs w:val="22"/>
              </w:rPr>
              <w:t>Освітлення попереду:</w:t>
            </w:r>
          </w:p>
          <w:p w:rsidR="00633E3F" w:rsidRPr="00633E3F" w:rsidRDefault="00633E3F" w:rsidP="00286AB2">
            <w:pPr>
              <w:jc w:val="both"/>
              <w:rPr>
                <w:sz w:val="22"/>
                <w:szCs w:val="22"/>
              </w:rPr>
            </w:pPr>
            <w:r w:rsidRPr="00633E3F">
              <w:rPr>
                <w:sz w:val="22"/>
                <w:szCs w:val="22"/>
              </w:rPr>
              <w:t>не менше 2 фари дорожнь</w:t>
            </w:r>
            <w:r w:rsidR="00FF7ACB">
              <w:rPr>
                <w:sz w:val="22"/>
                <w:szCs w:val="22"/>
              </w:rPr>
              <w:t>о</w:t>
            </w:r>
            <w:r w:rsidRPr="00633E3F">
              <w:rPr>
                <w:sz w:val="22"/>
                <w:szCs w:val="22"/>
              </w:rPr>
              <w:t>го освітлення і окремо не менше 4 фари робочого освітлення.</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Освітлення позаду: не менше 4 фари робочого освітлення.</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proofErr w:type="spellStart"/>
            <w:r w:rsidRPr="00633E3F">
              <w:rPr>
                <w:sz w:val="22"/>
                <w:szCs w:val="22"/>
              </w:rPr>
              <w:t>Фонарі</w:t>
            </w:r>
            <w:proofErr w:type="spellEnd"/>
            <w:r w:rsidRPr="00633E3F">
              <w:rPr>
                <w:sz w:val="22"/>
                <w:szCs w:val="22"/>
              </w:rPr>
              <w:t>: стопу та повороту.</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 xml:space="preserve">Екскаватор  має бути обладнаний крилами - </w:t>
            </w:r>
            <w:proofErr w:type="spellStart"/>
            <w:r w:rsidRPr="00633E3F">
              <w:rPr>
                <w:sz w:val="22"/>
                <w:szCs w:val="22"/>
              </w:rPr>
              <w:t>бризковиками</w:t>
            </w:r>
            <w:proofErr w:type="spellEnd"/>
            <w:r w:rsidRPr="00633E3F">
              <w:rPr>
                <w:sz w:val="22"/>
                <w:szCs w:val="22"/>
              </w:rPr>
              <w:t xml:space="preserve"> передніх і задніх коліс.</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Повна експлуатаційна маса не менше 8100 кг.</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6D0D90">
            <w:pPr>
              <w:rPr>
                <w:sz w:val="22"/>
                <w:szCs w:val="22"/>
              </w:rPr>
            </w:pPr>
            <w:r w:rsidRPr="00633E3F">
              <w:rPr>
                <w:sz w:val="22"/>
                <w:szCs w:val="22"/>
              </w:rPr>
              <w:t xml:space="preserve">Суцільний паливний бак без використання додаткових ємностей об’ємом  – </w:t>
            </w:r>
            <w:r w:rsidRPr="00FC0222">
              <w:rPr>
                <w:b/>
                <w:sz w:val="22"/>
                <w:szCs w:val="22"/>
              </w:rPr>
              <w:t>не менше 1</w:t>
            </w:r>
            <w:r w:rsidR="006D0D90" w:rsidRPr="00FC0222">
              <w:rPr>
                <w:b/>
                <w:sz w:val="22"/>
                <w:szCs w:val="22"/>
              </w:rPr>
              <w:t>4</w:t>
            </w:r>
            <w:r w:rsidRPr="00FC0222">
              <w:rPr>
                <w:b/>
                <w:sz w:val="22"/>
                <w:szCs w:val="22"/>
              </w:rPr>
              <w:t>0 л.</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Об’єм системи охолодження двигуна – не більше 19 л.</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tabs>
                <w:tab w:val="left" w:pos="1427"/>
              </w:tabs>
              <w:rPr>
                <w:sz w:val="22"/>
                <w:szCs w:val="22"/>
              </w:rPr>
            </w:pPr>
            <w:r w:rsidRPr="00633E3F">
              <w:rPr>
                <w:sz w:val="22"/>
                <w:szCs w:val="22"/>
              </w:rPr>
              <w:t>Поворотні передні два колеса.</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Трансмісія :</w:t>
            </w:r>
          </w:p>
          <w:p w:rsidR="00633E3F" w:rsidRPr="00633E3F" w:rsidRDefault="00633E3F" w:rsidP="00286AB2">
            <w:pPr>
              <w:rPr>
                <w:sz w:val="22"/>
                <w:szCs w:val="22"/>
              </w:rPr>
            </w:pPr>
            <w:r w:rsidRPr="00633E3F">
              <w:rPr>
                <w:sz w:val="22"/>
                <w:szCs w:val="22"/>
              </w:rPr>
              <w:t xml:space="preserve">Привід на обидва мости. </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Електричний перемикач вибору приводу коліс 2WD/4WD в кабіні екскаватора-навантажувача.</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highlight w:val="yellow"/>
              </w:rPr>
            </w:pPr>
            <w:r w:rsidRPr="0018378C">
              <w:rPr>
                <w:sz w:val="22"/>
                <w:szCs w:val="22"/>
              </w:rPr>
              <w:t>На рульовій колонці має бути встановлений електричний перемикач реверса</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highlight w:val="yellow"/>
              </w:rPr>
            </w:pPr>
            <w:r w:rsidRPr="00633E3F">
              <w:rPr>
                <w:sz w:val="22"/>
                <w:szCs w:val="22"/>
              </w:rPr>
              <w:t>Транспортна швидкість пересування не менше 38 км/год.</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 xml:space="preserve">Радіус коліс: </w:t>
            </w:r>
          </w:p>
          <w:p w:rsidR="00633E3F" w:rsidRPr="00633E3F" w:rsidRDefault="00633E3F" w:rsidP="00286AB2">
            <w:pPr>
              <w:rPr>
                <w:sz w:val="22"/>
                <w:szCs w:val="22"/>
              </w:rPr>
            </w:pPr>
            <w:r w:rsidRPr="00633E3F">
              <w:rPr>
                <w:sz w:val="22"/>
                <w:szCs w:val="22"/>
              </w:rPr>
              <w:t>- передні не більше 20</w:t>
            </w:r>
          </w:p>
          <w:p w:rsidR="00633E3F" w:rsidRPr="00633E3F" w:rsidRDefault="00633E3F" w:rsidP="00286AB2">
            <w:pPr>
              <w:rPr>
                <w:sz w:val="22"/>
                <w:szCs w:val="22"/>
                <w:highlight w:val="yellow"/>
              </w:rPr>
            </w:pPr>
            <w:r w:rsidRPr="00633E3F">
              <w:rPr>
                <w:sz w:val="22"/>
                <w:szCs w:val="22"/>
              </w:rPr>
              <w:t>- задні не більше 28.</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Загальна продуктивність гідравлічної системи не менше 140 літрів за хвилину.</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Максимальний тиск в гідравлічній системі не менше 250 Бар.</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33E3F" w:rsidRPr="00BB3B35" w:rsidRDefault="00633E3F" w:rsidP="00286AB2">
            <w:pPr>
              <w:pStyle w:val="Standard"/>
              <w:rPr>
                <w:highlight w:val="yellow"/>
                <w:lang w:val="uk-UA"/>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Загальний об’єм гідравлічної системи – не більше 117 л.</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Ківш навантажувача має бути багатофункціональний</w:t>
            </w:r>
            <w:r w:rsidR="00683E8A">
              <w:rPr>
                <w:sz w:val="22"/>
                <w:szCs w:val="22"/>
              </w:rPr>
              <w:t xml:space="preserve">, </w:t>
            </w:r>
            <w:r w:rsidR="00683E8A" w:rsidRPr="00FC0222">
              <w:rPr>
                <w:b/>
                <w:sz w:val="22"/>
                <w:szCs w:val="22"/>
              </w:rPr>
              <w:t xml:space="preserve">не менше </w:t>
            </w:r>
            <w:r w:rsidRPr="00FC0222">
              <w:rPr>
                <w:b/>
                <w:sz w:val="22"/>
                <w:szCs w:val="22"/>
              </w:rPr>
              <w:t xml:space="preserve"> 4-в-1</w:t>
            </w:r>
            <w:r w:rsidRPr="00633E3F">
              <w:rPr>
                <w:sz w:val="22"/>
                <w:szCs w:val="22"/>
              </w:rPr>
              <w:t>, щелепний.</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Номінальна місткість ковша навантажувача – не менше 1,0 куб. метр.</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pStyle w:val="Standard"/>
              <w:rPr>
                <w:highlight w:val="yellow"/>
                <w:lang w:val="uk-UA"/>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Висота вивантаження навантажувального ковша по нижній кромці – не менше 2700 мм.</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pStyle w:val="Standard"/>
              <w:rPr>
                <w:highlight w:val="yellow"/>
                <w:lang w:val="uk-UA"/>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Глибина копання ковша навантажувача, не менше 100 мм.</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Стріла навантажувача має бути обладнана системою паралельного підйому.</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pStyle w:val="Standard"/>
              <w:rPr>
                <w:highlight w:val="yellow"/>
                <w:lang w:val="uk-UA"/>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Ківш навантажувача має керуватися здвоєними гідроциліндрами. Гідроциліндри мають бути розміщені по одній прямій зі стрілою навантажувача.</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 xml:space="preserve">Рукоять екскаватора – телескопічна. </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Екскаваторне обладнання має бути оснащене системою зміщення осі копання відносно осі машини.</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E22FFA">
            <w:pPr>
              <w:rPr>
                <w:sz w:val="22"/>
                <w:szCs w:val="22"/>
              </w:rPr>
            </w:pPr>
            <w:r w:rsidRPr="00633E3F">
              <w:rPr>
                <w:sz w:val="22"/>
                <w:szCs w:val="22"/>
              </w:rPr>
              <w:t xml:space="preserve">Максимальна глибина копання екскаватора без використання пристрою для швидкої заміни навісного обладнання </w:t>
            </w:r>
            <w:r w:rsidRPr="00FC0222">
              <w:rPr>
                <w:b/>
                <w:sz w:val="22"/>
                <w:szCs w:val="22"/>
              </w:rPr>
              <w:t>не менше 59</w:t>
            </w:r>
            <w:r w:rsidR="00E22FFA" w:rsidRPr="00FC0222">
              <w:rPr>
                <w:b/>
                <w:sz w:val="22"/>
                <w:szCs w:val="22"/>
              </w:rPr>
              <w:t>0</w:t>
            </w:r>
            <w:r w:rsidRPr="00FC0222">
              <w:rPr>
                <w:b/>
                <w:sz w:val="22"/>
                <w:szCs w:val="22"/>
              </w:rPr>
              <w:t>0 мм.</w:t>
            </w:r>
            <w:r w:rsidRPr="00633E3F">
              <w:rPr>
                <w:sz w:val="22"/>
                <w:szCs w:val="22"/>
              </w:rPr>
              <w:t xml:space="preserve"> </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E22FFA">
            <w:pPr>
              <w:rPr>
                <w:sz w:val="22"/>
                <w:szCs w:val="22"/>
              </w:rPr>
            </w:pPr>
            <w:r w:rsidRPr="00633E3F">
              <w:rPr>
                <w:sz w:val="22"/>
                <w:szCs w:val="22"/>
              </w:rPr>
              <w:t xml:space="preserve">Максимальна висота завантаження по стандартним нормам (при закритому ковші) не менше </w:t>
            </w:r>
            <w:r w:rsidRPr="00FC0222">
              <w:rPr>
                <w:b/>
                <w:sz w:val="22"/>
                <w:szCs w:val="22"/>
              </w:rPr>
              <w:t>47</w:t>
            </w:r>
            <w:r w:rsidR="00E22FFA" w:rsidRPr="00FC0222">
              <w:rPr>
                <w:b/>
                <w:sz w:val="22"/>
                <w:szCs w:val="22"/>
              </w:rPr>
              <w:t>0</w:t>
            </w:r>
            <w:r w:rsidRPr="00FC0222">
              <w:rPr>
                <w:b/>
                <w:sz w:val="22"/>
                <w:szCs w:val="22"/>
              </w:rPr>
              <w:t>0 мм.</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Ківш екскаваторного обладнання шириною 750-850 мм.</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Ківш екскаваторного обладнання шириною 350-400 мм.</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Ківш екскаваторного обладнання шириною 1500-1550 мм.</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Механічний пристрій швидкої заміни навісного обладнання екскаватора.</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r w:rsidRPr="00633E3F">
              <w:rPr>
                <w:sz w:val="22"/>
                <w:szCs w:val="22"/>
              </w:rPr>
              <w:t>Механічний пристрій швидкої заміни навісного обладнання навантажувача.</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E3F" w:rsidRPr="00633E3F" w:rsidRDefault="00633E3F" w:rsidP="00286AB2">
            <w:pPr>
              <w:rPr>
                <w:sz w:val="22"/>
                <w:szCs w:val="22"/>
              </w:rPr>
            </w:pPr>
            <w:proofErr w:type="spellStart"/>
            <w:r w:rsidRPr="00633E3F">
              <w:rPr>
                <w:sz w:val="22"/>
                <w:szCs w:val="22"/>
              </w:rPr>
              <w:t>Палетні</w:t>
            </w:r>
            <w:proofErr w:type="spellEnd"/>
            <w:r w:rsidRPr="00633E3F">
              <w:rPr>
                <w:sz w:val="22"/>
                <w:szCs w:val="22"/>
              </w:rPr>
              <w:t xml:space="preserve"> вила, встановлені на ковші навантажувача.</w:t>
            </w:r>
          </w:p>
        </w:tc>
        <w:tc>
          <w:tcPr>
            <w:tcW w:w="1559" w:type="dxa"/>
            <w:tcBorders>
              <w:top w:val="single" w:sz="4" w:space="0" w:color="00000A"/>
              <w:left w:val="single" w:sz="4" w:space="0" w:color="00000A"/>
              <w:bottom w:val="single" w:sz="4" w:space="0" w:color="00000A"/>
              <w:right w:val="single" w:sz="4" w:space="0" w:color="00000A"/>
            </w:tcBorders>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33E3F" w:rsidRPr="00633E3F" w:rsidRDefault="00633E3F" w:rsidP="00286AB2">
            <w:pPr>
              <w:rPr>
                <w:sz w:val="22"/>
                <w:szCs w:val="22"/>
              </w:rPr>
            </w:pPr>
            <w:r w:rsidRPr="00633E3F">
              <w:rPr>
                <w:sz w:val="22"/>
                <w:szCs w:val="22"/>
              </w:rPr>
              <w:t>Відвал для снігу.</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33E3F" w:rsidRPr="00633E3F" w:rsidRDefault="00633E3F" w:rsidP="00286AB2">
            <w:pPr>
              <w:rPr>
                <w:sz w:val="22"/>
                <w:szCs w:val="22"/>
              </w:rPr>
            </w:pPr>
            <w:r w:rsidRPr="00633E3F">
              <w:rPr>
                <w:sz w:val="22"/>
                <w:szCs w:val="22"/>
              </w:rPr>
              <w:t xml:space="preserve">Гарантія 12 місяців без обмеження напрацювання </w:t>
            </w:r>
            <w:proofErr w:type="spellStart"/>
            <w:r w:rsidRPr="00633E3F">
              <w:rPr>
                <w:sz w:val="22"/>
                <w:szCs w:val="22"/>
              </w:rPr>
              <w:t>мото</w:t>
            </w:r>
            <w:proofErr w:type="spellEnd"/>
            <w:r w:rsidRPr="00633E3F">
              <w:rPr>
                <w:sz w:val="22"/>
                <w:szCs w:val="22"/>
              </w:rPr>
              <w:t>/годин.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33E3F" w:rsidRPr="00633E3F" w:rsidRDefault="00633E3F" w:rsidP="00286AB2">
            <w:pPr>
              <w:rPr>
                <w:sz w:val="22"/>
                <w:szCs w:val="22"/>
              </w:rPr>
            </w:pPr>
            <w:r w:rsidRPr="00633E3F">
              <w:rPr>
                <w:sz w:val="22"/>
                <w:szCs w:val="22"/>
              </w:rPr>
              <w:t xml:space="preserve">Період сервісного обслуговування, рекомендований заводом-виробником для України, не менше 500 </w:t>
            </w:r>
            <w:proofErr w:type="spellStart"/>
            <w:r w:rsidRPr="00633E3F">
              <w:rPr>
                <w:sz w:val="22"/>
                <w:szCs w:val="22"/>
              </w:rPr>
              <w:t>мото</w:t>
            </w:r>
            <w:proofErr w:type="spellEnd"/>
            <w:r w:rsidRPr="00633E3F">
              <w:rPr>
                <w:sz w:val="22"/>
                <w:szCs w:val="22"/>
              </w:rPr>
              <w:t>/годин.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33E3F" w:rsidRPr="00BB3B35" w:rsidRDefault="00633E3F" w:rsidP="00286AB2">
            <w:pPr>
              <w:rPr>
                <w:highlight w:val="yellow"/>
              </w:rPr>
            </w:pPr>
          </w:p>
        </w:tc>
      </w:tr>
      <w:tr w:rsidR="00633E3F"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rsidR="00633E3F" w:rsidRPr="00633E3F" w:rsidRDefault="00633E3F"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33E3F" w:rsidRPr="00633E3F" w:rsidRDefault="00633E3F" w:rsidP="00286AB2">
            <w:pPr>
              <w:rPr>
                <w:sz w:val="22"/>
                <w:szCs w:val="22"/>
              </w:rPr>
            </w:pPr>
            <w:r w:rsidRPr="00633E3F">
              <w:rPr>
                <w:sz w:val="22"/>
                <w:szCs w:val="22"/>
              </w:rPr>
              <w:t xml:space="preserve">Має бути встановлена Виробником екскаватора-навантажувача система контролю роботи екскаватора-навантажувача в реальному часі через GSM, GPS та Інтернет. </w:t>
            </w:r>
          </w:p>
          <w:p w:rsidR="00633E3F" w:rsidRPr="00633E3F" w:rsidRDefault="00633E3F" w:rsidP="00286AB2">
            <w:pPr>
              <w:rPr>
                <w:sz w:val="22"/>
                <w:szCs w:val="22"/>
              </w:rPr>
            </w:pPr>
            <w:r w:rsidRPr="00633E3F">
              <w:rPr>
                <w:sz w:val="22"/>
                <w:szCs w:val="22"/>
              </w:rPr>
              <w:t>Система включає в себе такі додаткові опції:</w:t>
            </w:r>
          </w:p>
          <w:p w:rsidR="00633E3F" w:rsidRPr="00633E3F" w:rsidRDefault="00633E3F" w:rsidP="00633E3F">
            <w:pPr>
              <w:pStyle w:val="a4"/>
              <w:widowControl w:val="0"/>
              <w:numPr>
                <w:ilvl w:val="0"/>
                <w:numId w:val="1"/>
              </w:numPr>
              <w:suppressAutoHyphens/>
              <w:autoSpaceDN w:val="0"/>
              <w:contextualSpacing w:val="0"/>
              <w:textAlignment w:val="baseline"/>
              <w:rPr>
                <w:rFonts w:ascii="Times New Roman" w:hAnsi="Times New Roman" w:cs="Times New Roman"/>
                <w:sz w:val="22"/>
                <w:szCs w:val="22"/>
                <w:lang w:val="uk-UA"/>
              </w:rPr>
            </w:pPr>
            <w:r w:rsidRPr="00633E3F">
              <w:rPr>
                <w:rFonts w:ascii="Times New Roman" w:hAnsi="Times New Roman" w:cs="Times New Roman"/>
                <w:sz w:val="22"/>
                <w:szCs w:val="22"/>
                <w:lang w:val="uk-UA"/>
              </w:rPr>
              <w:t xml:space="preserve">Час напрацювання машини згідно лічильнику </w:t>
            </w:r>
            <w:proofErr w:type="spellStart"/>
            <w:r w:rsidRPr="00633E3F">
              <w:rPr>
                <w:rFonts w:ascii="Times New Roman" w:hAnsi="Times New Roman" w:cs="Times New Roman"/>
                <w:sz w:val="22"/>
                <w:szCs w:val="22"/>
                <w:lang w:val="uk-UA"/>
              </w:rPr>
              <w:t>мотогодин</w:t>
            </w:r>
            <w:proofErr w:type="spellEnd"/>
            <w:r w:rsidRPr="00633E3F">
              <w:rPr>
                <w:rFonts w:ascii="Times New Roman" w:hAnsi="Times New Roman" w:cs="Times New Roman"/>
                <w:sz w:val="22"/>
                <w:szCs w:val="22"/>
                <w:lang w:val="uk-UA"/>
              </w:rPr>
              <w:t xml:space="preserve"> екскаватора-навантажувача,</w:t>
            </w:r>
          </w:p>
          <w:p w:rsidR="00633E3F" w:rsidRPr="00633E3F" w:rsidRDefault="00633E3F" w:rsidP="00633E3F">
            <w:pPr>
              <w:pStyle w:val="a4"/>
              <w:widowControl w:val="0"/>
              <w:numPr>
                <w:ilvl w:val="0"/>
                <w:numId w:val="1"/>
              </w:numPr>
              <w:suppressAutoHyphens/>
              <w:autoSpaceDN w:val="0"/>
              <w:contextualSpacing w:val="0"/>
              <w:textAlignment w:val="baseline"/>
              <w:rPr>
                <w:rFonts w:ascii="Times New Roman" w:hAnsi="Times New Roman" w:cs="Times New Roman"/>
                <w:sz w:val="22"/>
                <w:szCs w:val="22"/>
                <w:lang w:val="uk-UA"/>
              </w:rPr>
            </w:pPr>
            <w:r w:rsidRPr="00633E3F">
              <w:rPr>
                <w:rFonts w:ascii="Times New Roman" w:hAnsi="Times New Roman" w:cs="Times New Roman"/>
                <w:sz w:val="22"/>
                <w:szCs w:val="22"/>
                <w:lang w:val="uk-UA"/>
              </w:rPr>
              <w:t>Повідомлення про технічне обслуговування,</w:t>
            </w:r>
          </w:p>
          <w:p w:rsidR="00633E3F" w:rsidRPr="00633E3F" w:rsidRDefault="00633E3F" w:rsidP="00633E3F">
            <w:pPr>
              <w:pStyle w:val="a4"/>
              <w:widowControl w:val="0"/>
              <w:numPr>
                <w:ilvl w:val="0"/>
                <w:numId w:val="1"/>
              </w:numPr>
              <w:suppressAutoHyphens/>
              <w:autoSpaceDN w:val="0"/>
              <w:contextualSpacing w:val="0"/>
              <w:textAlignment w:val="baseline"/>
              <w:rPr>
                <w:rFonts w:ascii="Times New Roman" w:hAnsi="Times New Roman" w:cs="Times New Roman"/>
                <w:sz w:val="22"/>
                <w:szCs w:val="22"/>
                <w:lang w:val="uk-UA"/>
              </w:rPr>
            </w:pPr>
            <w:r w:rsidRPr="00633E3F">
              <w:rPr>
                <w:rFonts w:ascii="Times New Roman" w:hAnsi="Times New Roman" w:cs="Times New Roman"/>
                <w:sz w:val="22"/>
                <w:szCs w:val="22"/>
                <w:lang w:val="uk-UA"/>
              </w:rPr>
              <w:t>Історія сервісного обслуговування,</w:t>
            </w:r>
          </w:p>
          <w:p w:rsidR="00633E3F" w:rsidRPr="00633E3F" w:rsidRDefault="00633E3F" w:rsidP="00633E3F">
            <w:pPr>
              <w:pStyle w:val="a4"/>
              <w:widowControl w:val="0"/>
              <w:numPr>
                <w:ilvl w:val="0"/>
                <w:numId w:val="1"/>
              </w:numPr>
              <w:suppressAutoHyphens/>
              <w:autoSpaceDN w:val="0"/>
              <w:contextualSpacing w:val="0"/>
              <w:textAlignment w:val="baseline"/>
              <w:rPr>
                <w:rFonts w:ascii="Times New Roman" w:hAnsi="Times New Roman" w:cs="Times New Roman"/>
                <w:sz w:val="22"/>
                <w:szCs w:val="22"/>
                <w:lang w:val="uk-UA"/>
              </w:rPr>
            </w:pPr>
            <w:r w:rsidRPr="00633E3F">
              <w:rPr>
                <w:rFonts w:ascii="Times New Roman" w:hAnsi="Times New Roman" w:cs="Times New Roman"/>
                <w:sz w:val="22"/>
                <w:szCs w:val="22"/>
                <w:lang w:val="uk-UA"/>
              </w:rPr>
              <w:t>Попередження щодо технічного стану екскаватора,</w:t>
            </w:r>
          </w:p>
          <w:p w:rsidR="00633E3F" w:rsidRPr="00633E3F" w:rsidRDefault="00633E3F" w:rsidP="00633E3F">
            <w:pPr>
              <w:pStyle w:val="a4"/>
              <w:widowControl w:val="0"/>
              <w:numPr>
                <w:ilvl w:val="0"/>
                <w:numId w:val="1"/>
              </w:numPr>
              <w:suppressAutoHyphens/>
              <w:autoSpaceDN w:val="0"/>
              <w:contextualSpacing w:val="0"/>
              <w:textAlignment w:val="baseline"/>
              <w:rPr>
                <w:rFonts w:ascii="Times New Roman" w:hAnsi="Times New Roman" w:cs="Times New Roman"/>
                <w:sz w:val="22"/>
                <w:szCs w:val="22"/>
                <w:lang w:val="uk-UA"/>
              </w:rPr>
            </w:pPr>
            <w:r w:rsidRPr="00633E3F">
              <w:rPr>
                <w:rFonts w:ascii="Times New Roman" w:hAnsi="Times New Roman" w:cs="Times New Roman"/>
                <w:sz w:val="22"/>
                <w:szCs w:val="22"/>
                <w:lang w:val="uk-UA"/>
              </w:rPr>
              <w:t>Рівень пального в баку,</w:t>
            </w:r>
          </w:p>
          <w:p w:rsidR="00633E3F" w:rsidRPr="00633E3F" w:rsidRDefault="00633E3F" w:rsidP="00633E3F">
            <w:pPr>
              <w:pStyle w:val="a4"/>
              <w:widowControl w:val="0"/>
              <w:numPr>
                <w:ilvl w:val="0"/>
                <w:numId w:val="1"/>
              </w:numPr>
              <w:suppressAutoHyphens/>
              <w:autoSpaceDN w:val="0"/>
              <w:contextualSpacing w:val="0"/>
              <w:textAlignment w:val="baseline"/>
              <w:rPr>
                <w:rFonts w:ascii="Times New Roman" w:hAnsi="Times New Roman" w:cs="Times New Roman"/>
                <w:sz w:val="22"/>
                <w:szCs w:val="22"/>
                <w:lang w:val="uk-UA"/>
              </w:rPr>
            </w:pPr>
            <w:proofErr w:type="spellStart"/>
            <w:r w:rsidRPr="00633E3F">
              <w:rPr>
                <w:rFonts w:ascii="Times New Roman" w:hAnsi="Times New Roman" w:cs="Times New Roman"/>
                <w:sz w:val="22"/>
                <w:szCs w:val="22"/>
                <w:lang w:val="uk-UA"/>
              </w:rPr>
              <w:t>Простоювання</w:t>
            </w:r>
            <w:proofErr w:type="spellEnd"/>
            <w:r w:rsidRPr="00633E3F">
              <w:rPr>
                <w:rFonts w:ascii="Times New Roman" w:hAnsi="Times New Roman" w:cs="Times New Roman"/>
                <w:sz w:val="22"/>
                <w:szCs w:val="22"/>
                <w:lang w:val="uk-UA"/>
              </w:rPr>
              <w:t xml:space="preserve"> техніки.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33E3F" w:rsidRPr="00BB3B35" w:rsidRDefault="00633E3F" w:rsidP="00286AB2">
            <w:pPr>
              <w:rPr>
                <w:highlight w:val="yellow"/>
              </w:rPr>
            </w:pPr>
          </w:p>
        </w:tc>
      </w:tr>
      <w:tr w:rsidR="005E51C4" w:rsidRPr="00BB3B35" w:rsidTr="00286AB2">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rsidR="005E51C4" w:rsidRPr="00633E3F" w:rsidRDefault="005E51C4" w:rsidP="00633E3F">
            <w:pPr>
              <w:pStyle w:val="a4"/>
              <w:widowControl w:val="0"/>
              <w:numPr>
                <w:ilvl w:val="0"/>
                <w:numId w:val="11"/>
              </w:numPr>
              <w:suppressAutoHyphens/>
              <w:autoSpaceDN w:val="0"/>
              <w:ind w:left="431"/>
              <w:contextualSpacing w:val="0"/>
              <w:textAlignment w:val="baseline"/>
              <w:rPr>
                <w:rFonts w:ascii="Times New Roman" w:hAnsi="Times New Roman" w:cs="Times New Roman"/>
                <w:sz w:val="22"/>
                <w:szCs w:val="22"/>
                <w:lang w:val="uk-UA"/>
              </w:rPr>
            </w:pP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5E51C4" w:rsidRPr="00730DA2" w:rsidRDefault="005E51C4" w:rsidP="000E6A7C">
            <w:pPr>
              <w:spacing w:before="100" w:beforeAutospacing="1" w:after="100" w:afterAutospacing="1"/>
              <w:rPr>
                <w:sz w:val="22"/>
                <w:szCs w:val="22"/>
                <w:lang w:eastAsia="ru-RU"/>
              </w:rPr>
            </w:pPr>
            <w:proofErr w:type="spellStart"/>
            <w:r w:rsidRPr="00730DA2">
              <w:rPr>
                <w:sz w:val="22"/>
                <w:szCs w:val="22"/>
                <w:lang w:eastAsia="ru-RU"/>
              </w:rPr>
              <w:t>Гідромолот</w:t>
            </w:r>
            <w:proofErr w:type="spellEnd"/>
            <w:r w:rsidRPr="00730DA2">
              <w:rPr>
                <w:sz w:val="22"/>
                <w:szCs w:val="22"/>
                <w:lang w:eastAsia="ru-RU"/>
              </w:rPr>
              <w:t xml:space="preserve"> з перехідною плитою та </w:t>
            </w:r>
            <w:proofErr w:type="spellStart"/>
            <w:r w:rsidRPr="00730DA2">
              <w:rPr>
                <w:sz w:val="22"/>
                <w:szCs w:val="22"/>
                <w:lang w:eastAsia="ru-RU"/>
              </w:rPr>
              <w:t>гідролінією</w:t>
            </w:r>
            <w:proofErr w:type="spellEnd"/>
          </w:p>
          <w:p w:rsidR="005E51C4" w:rsidRPr="00730DA2" w:rsidRDefault="005E51C4" w:rsidP="000E6A7C">
            <w:pPr>
              <w:spacing w:before="100" w:beforeAutospacing="1" w:after="100" w:afterAutospacing="1"/>
              <w:rPr>
                <w:sz w:val="22"/>
                <w:szCs w:val="22"/>
                <w:lang w:eastAsia="ru-RU"/>
              </w:rPr>
            </w:pPr>
            <w:r w:rsidRPr="00730DA2">
              <w:rPr>
                <w:sz w:val="22"/>
                <w:szCs w:val="22"/>
                <w:lang w:eastAsia="ru-RU"/>
              </w:rPr>
              <w:t xml:space="preserve">В комплект поставки </w:t>
            </w:r>
            <w:proofErr w:type="spellStart"/>
            <w:r w:rsidRPr="00730DA2">
              <w:rPr>
                <w:sz w:val="22"/>
                <w:szCs w:val="22"/>
                <w:lang w:eastAsia="ru-RU"/>
              </w:rPr>
              <w:t>гідромолота</w:t>
            </w:r>
            <w:proofErr w:type="spellEnd"/>
            <w:r w:rsidRPr="00730DA2">
              <w:rPr>
                <w:sz w:val="22"/>
                <w:szCs w:val="22"/>
                <w:lang w:eastAsia="ru-RU"/>
              </w:rPr>
              <w:t xml:space="preserve"> входить:</w:t>
            </w:r>
          </w:p>
          <w:p w:rsidR="005E51C4" w:rsidRPr="00730DA2" w:rsidRDefault="005E51C4" w:rsidP="005E51C4">
            <w:pPr>
              <w:numPr>
                <w:ilvl w:val="0"/>
                <w:numId w:val="12"/>
              </w:numPr>
              <w:spacing w:before="100" w:beforeAutospacing="1" w:after="100" w:afterAutospacing="1"/>
              <w:rPr>
                <w:sz w:val="22"/>
                <w:szCs w:val="22"/>
                <w:lang w:eastAsia="ru-RU"/>
              </w:rPr>
            </w:pPr>
            <w:proofErr w:type="spellStart"/>
            <w:r w:rsidRPr="00730DA2">
              <w:rPr>
                <w:sz w:val="22"/>
                <w:szCs w:val="22"/>
                <w:lang w:eastAsia="ru-RU"/>
              </w:rPr>
              <w:t>гідромолот</w:t>
            </w:r>
            <w:proofErr w:type="spellEnd"/>
            <w:r w:rsidRPr="00730DA2">
              <w:rPr>
                <w:sz w:val="22"/>
                <w:szCs w:val="22"/>
                <w:lang w:eastAsia="ru-RU"/>
              </w:rPr>
              <w:t>;</w:t>
            </w:r>
          </w:p>
          <w:p w:rsidR="005E51C4" w:rsidRPr="00730DA2" w:rsidRDefault="005E51C4" w:rsidP="005E51C4">
            <w:pPr>
              <w:numPr>
                <w:ilvl w:val="0"/>
                <w:numId w:val="12"/>
              </w:numPr>
              <w:spacing w:before="100" w:beforeAutospacing="1" w:after="100" w:afterAutospacing="1"/>
              <w:rPr>
                <w:sz w:val="22"/>
                <w:szCs w:val="22"/>
                <w:lang w:eastAsia="ru-RU"/>
              </w:rPr>
            </w:pPr>
            <w:r w:rsidRPr="00730DA2">
              <w:rPr>
                <w:sz w:val="22"/>
                <w:szCs w:val="22"/>
                <w:lang w:eastAsia="ru-RU"/>
              </w:rPr>
              <w:t>піка;</w:t>
            </w:r>
          </w:p>
          <w:p w:rsidR="005E51C4" w:rsidRPr="00730DA2" w:rsidRDefault="005E51C4" w:rsidP="005E51C4">
            <w:pPr>
              <w:numPr>
                <w:ilvl w:val="0"/>
                <w:numId w:val="12"/>
              </w:numPr>
              <w:spacing w:before="100" w:beforeAutospacing="1" w:after="100" w:afterAutospacing="1"/>
              <w:rPr>
                <w:sz w:val="22"/>
                <w:szCs w:val="22"/>
                <w:lang w:eastAsia="ru-RU"/>
              </w:rPr>
            </w:pPr>
            <w:r w:rsidRPr="00730DA2">
              <w:rPr>
                <w:sz w:val="22"/>
                <w:szCs w:val="22"/>
                <w:lang w:eastAsia="ru-RU"/>
              </w:rPr>
              <w:t>перехідна плита під спецтехніку;</w:t>
            </w:r>
          </w:p>
          <w:p w:rsidR="005E51C4" w:rsidRPr="00730DA2" w:rsidRDefault="005E51C4" w:rsidP="005E51C4">
            <w:pPr>
              <w:numPr>
                <w:ilvl w:val="0"/>
                <w:numId w:val="12"/>
              </w:numPr>
              <w:spacing w:before="100" w:beforeAutospacing="1" w:after="100" w:afterAutospacing="1"/>
              <w:rPr>
                <w:sz w:val="22"/>
                <w:szCs w:val="22"/>
                <w:lang w:eastAsia="ru-RU"/>
              </w:rPr>
            </w:pPr>
            <w:r w:rsidRPr="00730DA2">
              <w:rPr>
                <w:sz w:val="22"/>
                <w:szCs w:val="22"/>
                <w:lang w:eastAsia="ru-RU"/>
              </w:rPr>
              <w:t xml:space="preserve">2 РВТ для підключення до </w:t>
            </w:r>
            <w:proofErr w:type="spellStart"/>
            <w:r w:rsidRPr="00730DA2">
              <w:rPr>
                <w:sz w:val="22"/>
                <w:szCs w:val="22"/>
                <w:lang w:eastAsia="ru-RU"/>
              </w:rPr>
              <w:t>гідролінії</w:t>
            </w:r>
            <w:proofErr w:type="spellEnd"/>
            <w:r w:rsidRPr="00730DA2">
              <w:rPr>
                <w:sz w:val="22"/>
                <w:szCs w:val="22"/>
                <w:lang w:eastAsia="ru-RU"/>
              </w:rPr>
              <w:t xml:space="preserve"> машини-носія;</w:t>
            </w:r>
          </w:p>
          <w:p w:rsidR="005E51C4" w:rsidRPr="00730DA2" w:rsidRDefault="005E51C4" w:rsidP="005E51C4">
            <w:pPr>
              <w:numPr>
                <w:ilvl w:val="0"/>
                <w:numId w:val="12"/>
              </w:numPr>
              <w:spacing w:before="100" w:beforeAutospacing="1" w:after="100" w:afterAutospacing="1"/>
              <w:rPr>
                <w:sz w:val="22"/>
                <w:szCs w:val="22"/>
              </w:rPr>
            </w:pPr>
            <w:r w:rsidRPr="00730DA2">
              <w:rPr>
                <w:sz w:val="22"/>
                <w:szCs w:val="22"/>
                <w:lang w:eastAsia="ru-RU"/>
              </w:rPr>
              <w:t xml:space="preserve">комплект заправки азотом (балон з азотом 5л, заправний редуктор, </w:t>
            </w:r>
            <w:proofErr w:type="spellStart"/>
            <w:r w:rsidRPr="00730DA2">
              <w:rPr>
                <w:sz w:val="22"/>
                <w:szCs w:val="22"/>
                <w:lang w:eastAsia="ru-RU"/>
              </w:rPr>
              <w:t>пневморукав</w:t>
            </w:r>
            <w:proofErr w:type="spellEnd"/>
            <w:r w:rsidRPr="00730DA2">
              <w:rPr>
                <w:sz w:val="22"/>
                <w:szCs w:val="22"/>
                <w:lang w:eastAsia="ru-RU"/>
              </w:rPr>
              <w:t>, манометр)</w:t>
            </w:r>
          </w:p>
          <w:p w:rsidR="005E51C4" w:rsidRPr="00F77D7A" w:rsidRDefault="005E51C4" w:rsidP="005E51C4">
            <w:pPr>
              <w:numPr>
                <w:ilvl w:val="0"/>
                <w:numId w:val="12"/>
              </w:numPr>
              <w:spacing w:before="100" w:beforeAutospacing="1" w:after="100" w:afterAutospacing="1"/>
              <w:rPr>
                <w:color w:val="FF0000"/>
                <w:sz w:val="22"/>
                <w:szCs w:val="22"/>
              </w:rPr>
            </w:pPr>
            <w:proofErr w:type="spellStart"/>
            <w:r w:rsidRPr="00730DA2">
              <w:rPr>
                <w:sz w:val="22"/>
                <w:szCs w:val="22"/>
                <w:lang w:eastAsia="ru-RU"/>
              </w:rPr>
              <w:t>гідролінія</w:t>
            </w:r>
            <w:proofErr w:type="spellEnd"/>
            <w:r w:rsidRPr="00730DA2">
              <w:rPr>
                <w:sz w:val="22"/>
                <w:szCs w:val="22"/>
                <w:lang w:eastAsia="ru-RU"/>
              </w:rPr>
              <w:t xml:space="preserve"> до </w:t>
            </w:r>
            <w:proofErr w:type="spellStart"/>
            <w:r w:rsidRPr="00730DA2">
              <w:rPr>
                <w:sz w:val="22"/>
                <w:szCs w:val="22"/>
                <w:lang w:eastAsia="ru-RU"/>
              </w:rPr>
              <w:t>гідромолота</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E51C4" w:rsidRPr="00BB3B35" w:rsidRDefault="005E51C4" w:rsidP="00286AB2">
            <w:pPr>
              <w:rPr>
                <w:highlight w:val="yellow"/>
              </w:rPr>
            </w:pPr>
          </w:p>
        </w:tc>
      </w:tr>
    </w:tbl>
    <w:p w:rsidR="00633E3F" w:rsidRDefault="00633E3F" w:rsidP="00633E3F">
      <w:pPr>
        <w:widowControl w:val="0"/>
        <w:tabs>
          <w:tab w:val="left" w:pos="0"/>
        </w:tabs>
        <w:suppressAutoHyphens/>
        <w:jc w:val="center"/>
        <w:rPr>
          <w:b/>
          <w:sz w:val="24"/>
          <w:szCs w:val="24"/>
          <w:bdr w:val="none" w:sz="0" w:space="0" w:color="auto" w:frame="1"/>
          <w:shd w:val="clear" w:color="auto" w:fill="FFFFFF"/>
        </w:rPr>
      </w:pPr>
    </w:p>
    <w:p w:rsidR="00633E3F" w:rsidRPr="00793E5E" w:rsidRDefault="00633E3F" w:rsidP="00633E3F">
      <w:pPr>
        <w:widowControl w:val="0"/>
        <w:tabs>
          <w:tab w:val="left" w:pos="0"/>
        </w:tabs>
        <w:suppressAutoHyphens/>
        <w:jc w:val="center"/>
        <w:rPr>
          <w:b/>
          <w:sz w:val="24"/>
          <w:szCs w:val="24"/>
          <w:bdr w:val="none" w:sz="0" w:space="0" w:color="auto" w:frame="1"/>
          <w:shd w:val="clear" w:color="auto" w:fill="FFFFFF"/>
        </w:rPr>
      </w:pPr>
    </w:p>
    <w:p w:rsidR="00633E3F" w:rsidRPr="00793E5E" w:rsidRDefault="00633E3F" w:rsidP="00633E3F">
      <w:pPr>
        <w:pStyle w:val="Standard"/>
        <w:contextualSpacing/>
        <w:jc w:val="both"/>
        <w:rPr>
          <w:rFonts w:ascii="Times New Roman" w:hAnsi="Times New Roman" w:cs="Times New Roman"/>
          <w:lang w:val="uk-UA"/>
        </w:rPr>
      </w:pPr>
      <w:r w:rsidRPr="00793E5E">
        <w:rPr>
          <w:rFonts w:ascii="Times New Roman" w:hAnsi="Times New Roman" w:cs="Times New Roman"/>
          <w:lang w:val="uk-UA"/>
        </w:rPr>
        <w:t>Усі показники еквіваленту мають відповідати вимогам даної тендерної документації та додаткам до неї.</w:t>
      </w:r>
    </w:p>
    <w:p w:rsidR="00633E3F" w:rsidRPr="00793E5E" w:rsidRDefault="00633E3F" w:rsidP="00633E3F">
      <w:pPr>
        <w:pStyle w:val="Standard"/>
        <w:contextualSpacing/>
        <w:jc w:val="both"/>
        <w:rPr>
          <w:rFonts w:cs="Times New Roman"/>
          <w:lang w:val="uk-UA"/>
        </w:rPr>
      </w:pPr>
    </w:p>
    <w:p w:rsidR="00633E3F" w:rsidRPr="00793E5E" w:rsidRDefault="00633E3F" w:rsidP="00633E3F">
      <w:pPr>
        <w:spacing w:line="276" w:lineRule="auto"/>
        <w:ind w:right="-1" w:firstLine="709"/>
        <w:contextualSpacing/>
        <w:jc w:val="both"/>
        <w:rPr>
          <w:sz w:val="24"/>
          <w:szCs w:val="24"/>
        </w:rPr>
      </w:pPr>
      <w:r w:rsidRPr="00793E5E">
        <w:rPr>
          <w:sz w:val="24"/>
          <w:szCs w:val="24"/>
        </w:rPr>
        <w:t>Учасник повинен надати у складі своєї тендерної пропозиції також наступні документи:</w:t>
      </w:r>
    </w:p>
    <w:p w:rsidR="00CD771D" w:rsidRPr="00793E5E" w:rsidRDefault="00CD771D" w:rsidP="00CD771D">
      <w:pPr>
        <w:spacing w:line="276" w:lineRule="auto"/>
        <w:ind w:right="-1"/>
        <w:jc w:val="both"/>
        <w:rPr>
          <w:sz w:val="24"/>
          <w:szCs w:val="24"/>
        </w:rPr>
      </w:pPr>
      <w:r w:rsidRPr="00793E5E">
        <w:rPr>
          <w:sz w:val="24"/>
          <w:szCs w:val="24"/>
        </w:rPr>
        <w:t>1.</w:t>
      </w:r>
      <w:r w:rsidR="005C5BAA" w:rsidRPr="00793E5E">
        <w:rPr>
          <w:sz w:val="24"/>
          <w:szCs w:val="24"/>
        </w:rPr>
        <w:t xml:space="preserve"> Довідку у довільній формі, що</w:t>
      </w:r>
      <w:r w:rsidRPr="00793E5E">
        <w:rPr>
          <w:sz w:val="24"/>
          <w:szCs w:val="24"/>
        </w:rPr>
        <w:t xml:space="preserve"> </w:t>
      </w:r>
      <w:r w:rsidR="00FF7ACB" w:rsidRPr="00793E5E">
        <w:rPr>
          <w:sz w:val="24"/>
          <w:szCs w:val="24"/>
        </w:rPr>
        <w:t xml:space="preserve">Учасник </w:t>
      </w:r>
      <w:r w:rsidR="005C5BAA" w:rsidRPr="00793E5E">
        <w:rPr>
          <w:sz w:val="24"/>
          <w:szCs w:val="24"/>
        </w:rPr>
        <w:t>має</w:t>
      </w:r>
      <w:r w:rsidR="00FF7ACB" w:rsidRPr="00793E5E">
        <w:rPr>
          <w:sz w:val="24"/>
          <w:szCs w:val="24"/>
        </w:rPr>
        <w:t xml:space="preserve"> повноваження на реалізаці</w:t>
      </w:r>
      <w:r w:rsidRPr="00793E5E">
        <w:rPr>
          <w:sz w:val="24"/>
          <w:szCs w:val="24"/>
        </w:rPr>
        <w:t>ю продукції від імені виробника</w:t>
      </w:r>
      <w:r w:rsidR="005C5BAA" w:rsidRPr="00793E5E">
        <w:rPr>
          <w:sz w:val="24"/>
          <w:szCs w:val="24"/>
        </w:rPr>
        <w:t>.</w:t>
      </w:r>
    </w:p>
    <w:p w:rsidR="00CD771D" w:rsidRPr="00793E5E" w:rsidRDefault="00CD771D" w:rsidP="00CD771D">
      <w:pPr>
        <w:spacing w:line="276" w:lineRule="auto"/>
        <w:ind w:right="-1"/>
        <w:jc w:val="both"/>
        <w:rPr>
          <w:sz w:val="24"/>
          <w:szCs w:val="24"/>
        </w:rPr>
      </w:pPr>
      <w:r w:rsidRPr="00793E5E">
        <w:rPr>
          <w:sz w:val="24"/>
          <w:szCs w:val="24"/>
        </w:rPr>
        <w:lastRenderedPageBreak/>
        <w:t xml:space="preserve">2. </w:t>
      </w:r>
      <w:r w:rsidR="005C5BAA" w:rsidRPr="00793E5E">
        <w:rPr>
          <w:sz w:val="24"/>
          <w:szCs w:val="24"/>
        </w:rPr>
        <w:t xml:space="preserve">Довідку у довільній формі, що </w:t>
      </w:r>
      <w:r w:rsidR="00FF7ACB" w:rsidRPr="00793E5E">
        <w:rPr>
          <w:sz w:val="24"/>
          <w:szCs w:val="24"/>
        </w:rPr>
        <w:t>Учасник ма</w:t>
      </w:r>
      <w:r w:rsidR="005C5BAA" w:rsidRPr="00793E5E">
        <w:rPr>
          <w:sz w:val="24"/>
          <w:szCs w:val="24"/>
        </w:rPr>
        <w:t xml:space="preserve">є </w:t>
      </w:r>
      <w:r w:rsidR="00FF7ACB" w:rsidRPr="00793E5E">
        <w:rPr>
          <w:sz w:val="24"/>
          <w:szCs w:val="24"/>
        </w:rPr>
        <w:t>базу з відповідними умовами для зберігання, гарантійного, сервісного обслуговування та продажу машин</w:t>
      </w:r>
      <w:r w:rsidR="005C5BAA" w:rsidRPr="00793E5E">
        <w:rPr>
          <w:sz w:val="24"/>
          <w:szCs w:val="24"/>
        </w:rPr>
        <w:t>.</w:t>
      </w:r>
    </w:p>
    <w:p w:rsidR="00CD771D" w:rsidRPr="00793E5E" w:rsidRDefault="00CD771D" w:rsidP="00CD771D">
      <w:pPr>
        <w:spacing w:line="276" w:lineRule="auto"/>
        <w:ind w:right="-1"/>
        <w:jc w:val="both"/>
        <w:rPr>
          <w:sz w:val="24"/>
          <w:szCs w:val="24"/>
        </w:rPr>
      </w:pPr>
      <w:r w:rsidRPr="00793E5E">
        <w:rPr>
          <w:sz w:val="24"/>
          <w:szCs w:val="24"/>
        </w:rPr>
        <w:t xml:space="preserve">3. </w:t>
      </w:r>
      <w:r w:rsidR="005C5BAA" w:rsidRPr="00793E5E">
        <w:rPr>
          <w:sz w:val="24"/>
          <w:szCs w:val="24"/>
        </w:rPr>
        <w:t xml:space="preserve">Довідку у довільній формі, що </w:t>
      </w:r>
      <w:r w:rsidR="00FF7ACB" w:rsidRPr="00793E5E">
        <w:rPr>
          <w:sz w:val="24"/>
          <w:szCs w:val="24"/>
        </w:rPr>
        <w:t xml:space="preserve">Учасник здійснює </w:t>
      </w:r>
      <w:proofErr w:type="spellStart"/>
      <w:r w:rsidR="00FF7ACB" w:rsidRPr="00793E5E">
        <w:rPr>
          <w:sz w:val="24"/>
          <w:szCs w:val="24"/>
        </w:rPr>
        <w:t>післяпродажне</w:t>
      </w:r>
      <w:proofErr w:type="spellEnd"/>
      <w:r w:rsidR="00FF7ACB" w:rsidRPr="00793E5E">
        <w:rPr>
          <w:sz w:val="24"/>
          <w:szCs w:val="24"/>
        </w:rPr>
        <w:t xml:space="preserve"> обслуговування машини протягом гарантійного терміну експлуатації (надати опис сервісної служби):</w:t>
      </w:r>
      <w:r w:rsidRPr="00793E5E">
        <w:rPr>
          <w:sz w:val="24"/>
          <w:szCs w:val="24"/>
        </w:rPr>
        <w:t xml:space="preserve"> у</w:t>
      </w:r>
      <w:r w:rsidR="00FF7ACB" w:rsidRPr="00793E5E">
        <w:rPr>
          <w:sz w:val="24"/>
          <w:szCs w:val="24"/>
        </w:rPr>
        <w:t>часник повинен забезпечувати виїзд мобільної сервісної бригади для усунення поломок на баз</w:t>
      </w:r>
      <w:r w:rsidRPr="00793E5E">
        <w:rPr>
          <w:sz w:val="24"/>
          <w:szCs w:val="24"/>
        </w:rPr>
        <w:t>і Замовника з сервісного центру та по</w:t>
      </w:r>
      <w:r w:rsidR="00FF7ACB" w:rsidRPr="00793E5E">
        <w:rPr>
          <w:sz w:val="24"/>
          <w:szCs w:val="24"/>
        </w:rPr>
        <w:t>винен мати склад запасних частин для забезпечення їх швидкої заміни.</w:t>
      </w:r>
    </w:p>
    <w:p w:rsidR="00CD771D" w:rsidRPr="00793E5E" w:rsidRDefault="00CD771D" w:rsidP="00CD771D">
      <w:pPr>
        <w:spacing w:line="276" w:lineRule="auto"/>
        <w:ind w:right="-1"/>
        <w:jc w:val="both"/>
        <w:rPr>
          <w:sz w:val="24"/>
          <w:szCs w:val="24"/>
        </w:rPr>
      </w:pPr>
      <w:r w:rsidRPr="00793E5E">
        <w:rPr>
          <w:sz w:val="24"/>
          <w:szCs w:val="24"/>
        </w:rPr>
        <w:t>4. Д</w:t>
      </w:r>
      <w:r w:rsidR="00633E3F" w:rsidRPr="00793E5E">
        <w:rPr>
          <w:sz w:val="24"/>
          <w:szCs w:val="24"/>
        </w:rPr>
        <w:t>овідку стосовно наявності мережі сервісних центрів з обслуговування товару, що пропонується учасником, з обов’язковим зазначенням назви, адреси та контактних телефонів цілодобової гарячої лінії такого центру;</w:t>
      </w:r>
    </w:p>
    <w:p w:rsidR="003C6162" w:rsidRPr="00793E5E" w:rsidRDefault="00CD771D" w:rsidP="003C6162">
      <w:pPr>
        <w:spacing w:line="276" w:lineRule="auto"/>
        <w:ind w:right="-1"/>
        <w:jc w:val="both"/>
        <w:rPr>
          <w:sz w:val="24"/>
          <w:szCs w:val="24"/>
        </w:rPr>
      </w:pPr>
      <w:r w:rsidRPr="00793E5E">
        <w:rPr>
          <w:sz w:val="24"/>
          <w:szCs w:val="24"/>
        </w:rPr>
        <w:t>5.  Д</w:t>
      </w:r>
      <w:r w:rsidR="00633E3F" w:rsidRPr="00793E5E">
        <w:rPr>
          <w:sz w:val="24"/>
          <w:szCs w:val="24"/>
        </w:rPr>
        <w:t>овідку стосовно наявності сервісних автомобілів, укомплектованих ручним та спеціальним інструментом для оперативного обслуговування</w:t>
      </w:r>
    </w:p>
    <w:p w:rsidR="00D64C74" w:rsidRPr="00793E5E" w:rsidRDefault="003C6162" w:rsidP="00D64C74">
      <w:pPr>
        <w:spacing w:line="276" w:lineRule="auto"/>
        <w:ind w:right="-1"/>
        <w:jc w:val="both"/>
        <w:rPr>
          <w:sz w:val="24"/>
          <w:szCs w:val="24"/>
        </w:rPr>
      </w:pPr>
      <w:r w:rsidRPr="00793E5E">
        <w:rPr>
          <w:sz w:val="24"/>
          <w:szCs w:val="24"/>
        </w:rPr>
        <w:t>6. Д</w:t>
      </w:r>
      <w:r w:rsidR="00633E3F" w:rsidRPr="00793E5E">
        <w:rPr>
          <w:sz w:val="24"/>
          <w:szCs w:val="24"/>
        </w:rPr>
        <w:t>овідка у довільній формі з зазначенням терміну гарантійного обслуговування товару, що пропонується, та строку оперативного реагування за умови можливого виходу з ладу товару під час експлуатації його замовником протягом гарантійного терміну, задля унеможливлення зупинення робочого процесу, при цьому строк прибуття відповідального механіка на місце поломки това</w:t>
      </w:r>
      <w:r w:rsidR="00D64C74" w:rsidRPr="00793E5E">
        <w:rPr>
          <w:sz w:val="24"/>
          <w:szCs w:val="24"/>
        </w:rPr>
        <w:t>ру не має перевищувати 48 годин</w:t>
      </w:r>
      <w:r w:rsidR="00145697">
        <w:rPr>
          <w:sz w:val="24"/>
          <w:szCs w:val="24"/>
        </w:rPr>
        <w:t>.</w:t>
      </w:r>
    </w:p>
    <w:p w:rsidR="00D64C74" w:rsidRPr="00793E5E" w:rsidRDefault="00D64C74" w:rsidP="00D64C74">
      <w:pPr>
        <w:spacing w:line="276" w:lineRule="auto"/>
        <w:ind w:right="-1"/>
        <w:jc w:val="both"/>
        <w:rPr>
          <w:sz w:val="24"/>
          <w:szCs w:val="24"/>
        </w:rPr>
      </w:pPr>
      <w:r w:rsidRPr="00793E5E">
        <w:rPr>
          <w:sz w:val="24"/>
          <w:szCs w:val="24"/>
        </w:rPr>
        <w:t>7. Г</w:t>
      </w:r>
      <w:r w:rsidR="00633E3F" w:rsidRPr="00793E5E">
        <w:rPr>
          <w:sz w:val="24"/>
          <w:szCs w:val="24"/>
        </w:rPr>
        <w:t>арантійний лист щодо забезпечення передпродажної підготовки товару, введення в експлуатацію та навчання обслуговуючого персоналу на базі Зам</w:t>
      </w: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r w:rsidRPr="00793E5E">
        <w:rPr>
          <w:sz w:val="24"/>
          <w:szCs w:val="24"/>
        </w:rPr>
        <w:t>овника за рахунок Постачальника</w:t>
      </w:r>
      <w:bookmarkEnd w:id="1"/>
      <w:bookmarkEnd w:id="2"/>
      <w:bookmarkEnd w:id="3"/>
      <w:bookmarkEnd w:id="4"/>
      <w:bookmarkEnd w:id="5"/>
      <w:bookmarkEnd w:id="6"/>
      <w:bookmarkEnd w:id="7"/>
      <w:bookmarkEnd w:id="8"/>
      <w:bookmarkEnd w:id="9"/>
    </w:p>
    <w:p w:rsidR="00CE0CEA" w:rsidRPr="00CE0CEA" w:rsidRDefault="00D64C74" w:rsidP="00CE0CEA">
      <w:pPr>
        <w:spacing w:line="276" w:lineRule="auto"/>
        <w:ind w:right="-1"/>
        <w:contextualSpacing/>
        <w:jc w:val="both"/>
      </w:pPr>
      <w:r w:rsidRPr="00793E5E">
        <w:rPr>
          <w:sz w:val="24"/>
          <w:szCs w:val="24"/>
        </w:rPr>
        <w:t xml:space="preserve">8. </w:t>
      </w:r>
      <w:r w:rsidR="00CE0CEA" w:rsidRPr="00CE0CEA">
        <w:rPr>
          <w:sz w:val="24"/>
          <w:szCs w:val="24"/>
        </w:rPr>
        <w:t>При поставці товару учасник-переможець зобов’язаний надати замовнику оригінал інструкції з експлуатації та сервісну книжку; технічний паспорт від заводу-виробника з підтвердженням усіх характеристик; повний пакет документів, необхідних для реєстрації (постановки на облік) у відповідних органах; калькуляцію товару на підтвердження ступеню локалізації (не менше 10%),  про що ним у складі тендерної пропозиції надається гарантійний лист.</w:t>
      </w:r>
      <w:r w:rsidR="00CE0CEA" w:rsidRPr="00CE0CEA">
        <w:t xml:space="preserve"> </w:t>
      </w:r>
    </w:p>
    <w:p w:rsidR="00633E3F" w:rsidRPr="00793E5E" w:rsidRDefault="00D64C74" w:rsidP="00D64C74">
      <w:pPr>
        <w:spacing w:line="276" w:lineRule="auto"/>
        <w:ind w:right="-1"/>
        <w:jc w:val="both"/>
        <w:rPr>
          <w:sz w:val="24"/>
          <w:szCs w:val="24"/>
        </w:rPr>
      </w:pPr>
      <w:r w:rsidRPr="00793E5E">
        <w:rPr>
          <w:sz w:val="24"/>
          <w:szCs w:val="24"/>
        </w:rPr>
        <w:t>9. Г</w:t>
      </w:r>
      <w:r w:rsidR="00633E3F" w:rsidRPr="00793E5E">
        <w:rPr>
          <w:sz w:val="24"/>
          <w:szCs w:val="24"/>
        </w:rPr>
        <w:t>арантійний лист Учасника про те, що запропонований товар не зібраний з відреставрованих запасних частин, деталей, агрегатів</w:t>
      </w:r>
    </w:p>
    <w:p w:rsidR="00D64C74" w:rsidRPr="00793E5E" w:rsidRDefault="00D64C74" w:rsidP="00D64C74">
      <w:pPr>
        <w:widowControl w:val="0"/>
        <w:suppressAutoHyphens/>
        <w:spacing w:line="276" w:lineRule="auto"/>
        <w:ind w:right="-1"/>
        <w:contextualSpacing/>
        <w:jc w:val="both"/>
        <w:rPr>
          <w:sz w:val="24"/>
          <w:szCs w:val="24"/>
        </w:rPr>
      </w:pPr>
      <w:r w:rsidRPr="00793E5E">
        <w:rPr>
          <w:sz w:val="24"/>
          <w:szCs w:val="24"/>
        </w:rPr>
        <w:t>10. І</w:t>
      </w:r>
      <w:r w:rsidR="00633E3F" w:rsidRPr="00793E5E">
        <w:rPr>
          <w:sz w:val="24"/>
          <w:szCs w:val="24"/>
        </w:rPr>
        <w:t>нформацію в довільній формі про необхідну періодичність пр</w:t>
      </w:r>
      <w:r w:rsidRPr="00793E5E">
        <w:rPr>
          <w:sz w:val="24"/>
          <w:szCs w:val="24"/>
        </w:rPr>
        <w:t>оведення ТО предмету закупівлі</w:t>
      </w:r>
    </w:p>
    <w:p w:rsidR="00D64C74" w:rsidRPr="00793E5E" w:rsidRDefault="00D64C74" w:rsidP="00D64C74">
      <w:pPr>
        <w:widowControl w:val="0"/>
        <w:suppressAutoHyphens/>
        <w:spacing w:line="276" w:lineRule="auto"/>
        <w:ind w:right="-1"/>
        <w:contextualSpacing/>
        <w:jc w:val="both"/>
        <w:rPr>
          <w:sz w:val="24"/>
          <w:szCs w:val="24"/>
        </w:rPr>
      </w:pPr>
      <w:r w:rsidRPr="00793E5E">
        <w:rPr>
          <w:sz w:val="24"/>
          <w:szCs w:val="24"/>
        </w:rPr>
        <w:t xml:space="preserve">11. </w:t>
      </w:r>
      <w:proofErr w:type="spellStart"/>
      <w:r w:rsidRPr="00793E5E">
        <w:rPr>
          <w:sz w:val="24"/>
          <w:szCs w:val="24"/>
        </w:rPr>
        <w:t>С</w:t>
      </w:r>
      <w:r w:rsidR="00633E3F" w:rsidRPr="00793E5E">
        <w:rPr>
          <w:sz w:val="24"/>
          <w:szCs w:val="24"/>
        </w:rPr>
        <w:t>кан-копію</w:t>
      </w:r>
      <w:proofErr w:type="spellEnd"/>
      <w:r w:rsidR="00633E3F" w:rsidRPr="00793E5E">
        <w:rPr>
          <w:sz w:val="24"/>
          <w:szCs w:val="24"/>
        </w:rPr>
        <w:t xml:space="preserve"> Сертифіката відповідност</w:t>
      </w:r>
      <w:r w:rsidRPr="00793E5E">
        <w:rPr>
          <w:sz w:val="24"/>
          <w:szCs w:val="24"/>
        </w:rPr>
        <w:t>і на запропонований товар</w:t>
      </w:r>
    </w:p>
    <w:p w:rsidR="0027465D" w:rsidRPr="0027465D" w:rsidRDefault="00D64C74" w:rsidP="00D64C74">
      <w:pPr>
        <w:widowControl w:val="0"/>
        <w:suppressAutoHyphens/>
        <w:spacing w:line="276" w:lineRule="auto"/>
        <w:ind w:right="-1"/>
        <w:contextualSpacing/>
        <w:jc w:val="both"/>
        <w:rPr>
          <w:sz w:val="24"/>
          <w:szCs w:val="24"/>
        </w:rPr>
      </w:pPr>
      <w:r w:rsidRPr="0018378C">
        <w:rPr>
          <w:sz w:val="24"/>
          <w:szCs w:val="24"/>
        </w:rPr>
        <w:t xml:space="preserve">12. </w:t>
      </w:r>
      <w:proofErr w:type="spellStart"/>
      <w:r w:rsidRPr="0018378C">
        <w:rPr>
          <w:sz w:val="24"/>
          <w:szCs w:val="24"/>
        </w:rPr>
        <w:t>С</w:t>
      </w:r>
      <w:r w:rsidR="00633E3F" w:rsidRPr="0018378C">
        <w:rPr>
          <w:sz w:val="24"/>
          <w:szCs w:val="24"/>
        </w:rPr>
        <w:t>кан-копію</w:t>
      </w:r>
      <w:proofErr w:type="spellEnd"/>
      <w:r w:rsidR="00633E3F" w:rsidRPr="0018378C">
        <w:rPr>
          <w:sz w:val="24"/>
          <w:szCs w:val="24"/>
        </w:rPr>
        <w:t xml:space="preserve"> оригіналу Сертифіката уповноваженого дилера з </w:t>
      </w:r>
      <w:proofErr w:type="spellStart"/>
      <w:r w:rsidR="00633E3F" w:rsidRPr="0018378C">
        <w:rPr>
          <w:sz w:val="24"/>
          <w:szCs w:val="24"/>
        </w:rPr>
        <w:t>авторизаційним</w:t>
      </w:r>
      <w:proofErr w:type="spellEnd"/>
      <w:r w:rsidR="00633E3F" w:rsidRPr="0018378C">
        <w:rPr>
          <w:sz w:val="24"/>
          <w:szCs w:val="24"/>
        </w:rPr>
        <w:t xml:space="preserve"> листом до нього, яким надано права продажу транспортних засобів, їх складових частин, оригінальних запасних частин, гарантійного, післягарантійного і сервісного обслуговування, проведення передпродажної підготовки</w:t>
      </w:r>
      <w:r w:rsidR="0027465D" w:rsidRPr="0018378C">
        <w:rPr>
          <w:sz w:val="24"/>
          <w:szCs w:val="24"/>
        </w:rPr>
        <w:t>.</w:t>
      </w:r>
    </w:p>
    <w:p w:rsidR="00D64C74" w:rsidRDefault="00D64C74" w:rsidP="00D64C74">
      <w:pPr>
        <w:widowControl w:val="0"/>
        <w:suppressAutoHyphens/>
        <w:spacing w:line="276" w:lineRule="auto"/>
        <w:ind w:right="-1"/>
        <w:contextualSpacing/>
        <w:jc w:val="both"/>
        <w:rPr>
          <w:sz w:val="24"/>
          <w:szCs w:val="24"/>
          <w:lang w:eastAsia="ru-RU"/>
        </w:rPr>
      </w:pPr>
      <w:r w:rsidRPr="00793E5E">
        <w:rPr>
          <w:sz w:val="24"/>
          <w:szCs w:val="24"/>
        </w:rPr>
        <w:t>1</w:t>
      </w:r>
      <w:r w:rsidR="002231CE">
        <w:rPr>
          <w:sz w:val="24"/>
          <w:szCs w:val="24"/>
        </w:rPr>
        <w:t>3</w:t>
      </w:r>
      <w:r w:rsidRPr="00793E5E">
        <w:rPr>
          <w:sz w:val="24"/>
          <w:szCs w:val="24"/>
        </w:rPr>
        <w:t xml:space="preserve">. </w:t>
      </w:r>
      <w:r w:rsidRPr="00793E5E">
        <w:rPr>
          <w:sz w:val="24"/>
          <w:szCs w:val="24"/>
          <w:lang w:eastAsia="ru-RU"/>
        </w:rPr>
        <w:t>Учасник підтверджує, що всі податки та збори, які стягуються з нього в Україні, включені до ціни тендерної пропозиції, всі ризики та витрати пов’язані із передаванням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зобов’язується нести Учасник торгів. Учасник повинен надати гарантійний лист у складі тендерної пропозиції.</w:t>
      </w:r>
    </w:p>
    <w:p w:rsidR="00633E3F" w:rsidRPr="00793E5E" w:rsidRDefault="00633E3F" w:rsidP="00633E3F">
      <w:pPr>
        <w:pStyle w:val="Standard"/>
        <w:spacing w:line="276" w:lineRule="auto"/>
        <w:ind w:right="-1" w:firstLine="709"/>
        <w:contextualSpacing/>
        <w:rPr>
          <w:rFonts w:cs="Times New Roman"/>
          <w:lang w:val="uk-UA"/>
        </w:rPr>
      </w:pPr>
    </w:p>
    <w:p w:rsidR="00633E3F" w:rsidRPr="00793E5E" w:rsidRDefault="00633E3F" w:rsidP="00633E3F">
      <w:pPr>
        <w:spacing w:line="276" w:lineRule="auto"/>
        <w:ind w:right="-1" w:firstLine="709"/>
        <w:contextualSpacing/>
        <w:jc w:val="both"/>
        <w:rPr>
          <w:sz w:val="24"/>
          <w:szCs w:val="24"/>
        </w:rPr>
      </w:pPr>
      <w:r w:rsidRPr="00793E5E">
        <w:rPr>
          <w:sz w:val="24"/>
          <w:szCs w:val="24"/>
        </w:rPr>
        <w:t xml:space="preserve">Інформація про необхідні технічні, якісні та кількісні характеристики, надається учасником на фірмовому бланку, з обов’язковим заповненням полів, які цього потребують, та наведенням технічних характеристик, притаманних запропонованому предмету закупівлі. </w:t>
      </w:r>
    </w:p>
    <w:p w:rsidR="00633E3F" w:rsidRPr="00793E5E" w:rsidRDefault="00633E3F" w:rsidP="00633E3F">
      <w:pPr>
        <w:spacing w:line="276" w:lineRule="auto"/>
        <w:ind w:right="-1" w:firstLine="709"/>
        <w:contextualSpacing/>
        <w:jc w:val="both"/>
        <w:rPr>
          <w:b/>
          <w:bCs/>
          <w:sz w:val="24"/>
          <w:szCs w:val="24"/>
        </w:rPr>
      </w:pPr>
      <w:r w:rsidRPr="00793E5E">
        <w:rPr>
          <w:sz w:val="24"/>
          <w:szCs w:val="24"/>
        </w:rPr>
        <w:lastRenderedPageBreak/>
        <w:t>Якщо пропозиція торгів учасника не відповідає вимогам тендерної документації, то пропозиція буде відхилена, як така, що не відповідає вимогам документації торгів.</w:t>
      </w:r>
    </w:p>
    <w:p w:rsidR="00633E3F" w:rsidRPr="00793E5E" w:rsidRDefault="00633E3F" w:rsidP="00633E3F">
      <w:pPr>
        <w:spacing w:line="276" w:lineRule="auto"/>
        <w:ind w:right="-1" w:firstLine="709"/>
        <w:contextualSpacing/>
        <w:jc w:val="both"/>
        <w:rPr>
          <w:sz w:val="24"/>
          <w:szCs w:val="24"/>
        </w:rPr>
      </w:pPr>
    </w:p>
    <w:p w:rsidR="00633E3F" w:rsidRPr="00793E5E" w:rsidRDefault="00633E3F" w:rsidP="00633E3F">
      <w:pPr>
        <w:spacing w:line="276" w:lineRule="auto"/>
        <w:ind w:right="-1" w:firstLine="709"/>
        <w:contextualSpacing/>
        <w:jc w:val="both"/>
        <w:rPr>
          <w:bCs/>
          <w:iCs/>
          <w:sz w:val="24"/>
          <w:szCs w:val="24"/>
        </w:rPr>
      </w:pPr>
      <w:r w:rsidRPr="00793E5E">
        <w:rPr>
          <w:bCs/>
          <w:iCs/>
          <w:sz w:val="24"/>
          <w:szCs w:val="24"/>
        </w:rPr>
        <w:t>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CE0CEA" w:rsidRDefault="00CE0CEA" w:rsidP="00633E3F">
      <w:pPr>
        <w:autoSpaceDE w:val="0"/>
        <w:adjustRightInd w:val="0"/>
        <w:spacing w:line="276" w:lineRule="auto"/>
        <w:ind w:right="-1" w:firstLine="709"/>
        <w:contextualSpacing/>
        <w:jc w:val="both"/>
        <w:rPr>
          <w:bCs/>
          <w:sz w:val="24"/>
          <w:szCs w:val="24"/>
        </w:rPr>
      </w:pPr>
    </w:p>
    <w:p w:rsidR="00633E3F" w:rsidRPr="00793E5E" w:rsidRDefault="00633E3F" w:rsidP="00633E3F">
      <w:pPr>
        <w:autoSpaceDE w:val="0"/>
        <w:adjustRightInd w:val="0"/>
        <w:spacing w:line="276" w:lineRule="auto"/>
        <w:ind w:right="-1" w:firstLine="709"/>
        <w:contextualSpacing/>
        <w:jc w:val="both"/>
        <w:rPr>
          <w:bCs/>
          <w:sz w:val="24"/>
          <w:szCs w:val="24"/>
        </w:rPr>
      </w:pPr>
      <w:r w:rsidRPr="00793E5E">
        <w:rPr>
          <w:bCs/>
          <w:sz w:val="24"/>
          <w:szCs w:val="24"/>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rsidR="00633E3F" w:rsidRPr="00BB3B35" w:rsidRDefault="00633E3F" w:rsidP="00633E3F">
      <w:pPr>
        <w:pStyle w:val="Standard"/>
        <w:ind w:firstLine="284"/>
        <w:jc w:val="both"/>
        <w:rPr>
          <w:u w:val="single"/>
          <w:lang w:val="uk-UA"/>
        </w:rPr>
      </w:pPr>
    </w:p>
    <w:p w:rsidR="00793E5E" w:rsidRPr="003F7B2F" w:rsidRDefault="00793E5E" w:rsidP="00793E5E">
      <w:pPr>
        <w:widowControl w:val="0"/>
        <w:suppressAutoHyphens/>
        <w:jc w:val="both"/>
        <w:rPr>
          <w:b/>
          <w:kern w:val="2"/>
          <w:sz w:val="24"/>
          <w:szCs w:val="24"/>
          <w:lang w:eastAsia="hi-IN" w:bidi="hi-IN"/>
        </w:rPr>
      </w:pPr>
      <w:r w:rsidRPr="003F7B2F">
        <w:rPr>
          <w:kern w:val="2"/>
          <w:sz w:val="24"/>
          <w:szCs w:val="24"/>
          <w:lang w:eastAsia="hi-IN" w:bidi="hi-IN"/>
        </w:rPr>
        <w:t xml:space="preserve">* </w:t>
      </w:r>
      <w:r w:rsidRPr="003F7B2F">
        <w:rPr>
          <w:b/>
          <w:kern w:val="2"/>
          <w:sz w:val="24"/>
          <w:szCs w:val="24"/>
          <w:lang w:eastAsia="hi-IN" w:bidi="hi-IN"/>
        </w:rPr>
        <w:t xml:space="preserve">З метою дотримання законодавства про захист економічної конкуренції, Учасник може пропонувати еквівалент або аналог за умов повної відповідності технічним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w:t>
      </w:r>
      <w:proofErr w:type="spellStart"/>
      <w:r w:rsidRPr="003F7B2F">
        <w:rPr>
          <w:b/>
          <w:kern w:val="2"/>
          <w:sz w:val="24"/>
          <w:szCs w:val="24"/>
          <w:lang w:eastAsia="hi-IN" w:bidi="hi-IN"/>
        </w:rPr>
        <w:t>„або</w:t>
      </w:r>
      <w:proofErr w:type="spellEnd"/>
      <w:r w:rsidRPr="003F7B2F">
        <w:rPr>
          <w:b/>
          <w:kern w:val="2"/>
          <w:sz w:val="24"/>
          <w:szCs w:val="24"/>
          <w:lang w:eastAsia="hi-IN" w:bidi="hi-IN"/>
        </w:rPr>
        <w:t xml:space="preserve"> </w:t>
      </w:r>
      <w:proofErr w:type="spellStart"/>
      <w:r w:rsidRPr="003F7B2F">
        <w:rPr>
          <w:b/>
          <w:kern w:val="2"/>
          <w:sz w:val="24"/>
          <w:szCs w:val="24"/>
          <w:lang w:eastAsia="hi-IN" w:bidi="hi-IN"/>
        </w:rPr>
        <w:t>еквівалент”</w:t>
      </w:r>
      <w:proofErr w:type="spellEnd"/>
      <w:r w:rsidRPr="003F7B2F">
        <w:rPr>
          <w:b/>
          <w:kern w:val="2"/>
          <w:sz w:val="24"/>
          <w:szCs w:val="24"/>
          <w:lang w:eastAsia="hi-IN" w:bidi="hi-IN"/>
        </w:rPr>
        <w:t>. Крім того, техніка  повинна бути економічною, невибагливою в експлуатації та стійкою  до зовнішніх чинників зносу.</w:t>
      </w:r>
    </w:p>
    <w:p w:rsidR="00633E3F" w:rsidRDefault="00633E3F" w:rsidP="00633E3F">
      <w:pPr>
        <w:widowControl w:val="0"/>
        <w:tabs>
          <w:tab w:val="left" w:pos="0"/>
        </w:tabs>
        <w:suppressAutoHyphens/>
        <w:jc w:val="center"/>
        <w:rPr>
          <w:b/>
          <w:sz w:val="24"/>
          <w:szCs w:val="24"/>
          <w:bdr w:val="none" w:sz="0" w:space="0" w:color="auto" w:frame="1"/>
          <w:shd w:val="clear" w:color="auto" w:fill="FFFFFF"/>
        </w:rPr>
      </w:pPr>
    </w:p>
    <w:p w:rsidR="00CD771D" w:rsidRPr="003F7B2F" w:rsidRDefault="00CD771D" w:rsidP="00CD771D">
      <w:pPr>
        <w:jc w:val="both"/>
        <w:rPr>
          <w:b/>
          <w:i/>
          <w:color w:val="000000" w:themeColor="text1"/>
          <w:sz w:val="16"/>
          <w:szCs w:val="16"/>
        </w:rPr>
      </w:pPr>
    </w:p>
    <w:p w:rsidR="00CD771D" w:rsidRPr="003F7B2F" w:rsidRDefault="00CD771D" w:rsidP="00CD771D">
      <w:pPr>
        <w:jc w:val="both"/>
        <w:rPr>
          <w:b/>
          <w:i/>
          <w:color w:val="000000" w:themeColor="text1"/>
          <w:sz w:val="24"/>
          <w:szCs w:val="24"/>
        </w:rPr>
      </w:pPr>
      <w:r w:rsidRPr="003F7B2F">
        <w:rPr>
          <w:b/>
          <w:i/>
          <w:color w:val="000000" w:themeColor="text1"/>
          <w:sz w:val="24"/>
          <w:szCs w:val="24"/>
        </w:rPr>
        <w:t>_____________________________________________________________________________</w:t>
      </w:r>
    </w:p>
    <w:p w:rsidR="00CD771D" w:rsidRPr="003F7B2F" w:rsidRDefault="00CD771D" w:rsidP="00CD771D">
      <w:pPr>
        <w:jc w:val="both"/>
        <w:rPr>
          <w:b/>
          <w:color w:val="000000" w:themeColor="text1"/>
          <w:sz w:val="24"/>
          <w:szCs w:val="24"/>
        </w:rPr>
      </w:pPr>
      <w:r w:rsidRPr="003F7B2F">
        <w:rPr>
          <w:b/>
          <w:color w:val="000000" w:themeColor="text1"/>
          <w:sz w:val="24"/>
          <w:szCs w:val="24"/>
        </w:rPr>
        <w:t xml:space="preserve">Посада, прізвище, ініціали, підпис керівника чи уповноваженої особи Учасника </w:t>
      </w:r>
    </w:p>
    <w:p w:rsidR="00CD771D" w:rsidRPr="003F7B2F" w:rsidRDefault="00CD771D" w:rsidP="00CD771D">
      <w:pPr>
        <w:widowControl w:val="0"/>
        <w:suppressAutoHyphens/>
        <w:autoSpaceDE w:val="0"/>
        <w:ind w:right="-23" w:firstLine="284"/>
        <w:jc w:val="both"/>
        <w:rPr>
          <w:rFonts w:eastAsia="Times New Roman CYR"/>
          <w:b/>
          <w:lang w:eastAsia="ru-RU" w:bidi="ru-RU"/>
        </w:rPr>
      </w:pPr>
    </w:p>
    <w:p w:rsidR="00633E3F" w:rsidRDefault="00CD771D" w:rsidP="00793E5E">
      <w:pPr>
        <w:widowControl w:val="0"/>
        <w:shd w:val="clear" w:color="auto" w:fill="FFFFFF" w:themeFill="background1"/>
        <w:ind w:firstLine="426"/>
        <w:jc w:val="both"/>
        <w:rPr>
          <w:b/>
          <w:sz w:val="24"/>
          <w:szCs w:val="24"/>
          <w:bdr w:val="none" w:sz="0" w:space="0" w:color="auto" w:frame="1"/>
          <w:shd w:val="clear" w:color="auto" w:fill="FFFFFF"/>
        </w:rPr>
      </w:pPr>
      <w:r w:rsidRPr="003F7B2F">
        <w:rPr>
          <w:i/>
          <w:sz w:val="22"/>
          <w:szCs w:val="22"/>
        </w:rPr>
        <w:t xml:space="preserve">Примітка: Згода з умовами та вимогами, які визначені у додатку 3  і гарантування їх виконання підтверджується Учасником у вигляді підписаного додатку 3. </w:t>
      </w:r>
    </w:p>
    <w:p w:rsidR="00633E3F" w:rsidRDefault="00633E3F" w:rsidP="00633E3F">
      <w:pPr>
        <w:widowControl w:val="0"/>
        <w:tabs>
          <w:tab w:val="left" w:pos="0"/>
        </w:tabs>
        <w:suppressAutoHyphens/>
        <w:jc w:val="center"/>
        <w:rPr>
          <w:b/>
          <w:sz w:val="24"/>
          <w:szCs w:val="24"/>
          <w:bdr w:val="none" w:sz="0" w:space="0" w:color="auto" w:frame="1"/>
          <w:shd w:val="clear" w:color="auto" w:fill="FFFFFF"/>
        </w:rPr>
      </w:pPr>
    </w:p>
    <w:p w:rsidR="00633E3F" w:rsidRDefault="00633E3F" w:rsidP="00633E3F">
      <w:pPr>
        <w:widowControl w:val="0"/>
        <w:tabs>
          <w:tab w:val="left" w:pos="0"/>
        </w:tabs>
        <w:suppressAutoHyphens/>
        <w:jc w:val="center"/>
        <w:rPr>
          <w:b/>
          <w:sz w:val="24"/>
          <w:szCs w:val="24"/>
          <w:bdr w:val="none" w:sz="0" w:space="0" w:color="auto" w:frame="1"/>
          <w:shd w:val="clear" w:color="auto" w:fill="FFFFFF"/>
        </w:rPr>
      </w:pPr>
    </w:p>
    <w:p w:rsidR="00633E3F" w:rsidRPr="00694C9A" w:rsidRDefault="00633E3F" w:rsidP="00633E3F">
      <w:pPr>
        <w:widowControl w:val="0"/>
        <w:tabs>
          <w:tab w:val="left" w:pos="0"/>
        </w:tabs>
        <w:suppressAutoHyphens/>
        <w:jc w:val="center"/>
        <w:rPr>
          <w:bCs/>
          <w:i/>
          <w:sz w:val="24"/>
          <w:szCs w:val="24"/>
        </w:rPr>
      </w:pPr>
    </w:p>
    <w:p w:rsidR="00424BDD" w:rsidRPr="005C6001" w:rsidRDefault="00F66AF9" w:rsidP="006125A0">
      <w:pPr>
        <w:tabs>
          <w:tab w:val="left" w:pos="3240"/>
        </w:tabs>
        <w:rPr>
          <w:sz w:val="24"/>
          <w:szCs w:val="24"/>
        </w:rPr>
      </w:pPr>
      <w:r w:rsidRPr="00694C9A">
        <w:rPr>
          <w:sz w:val="24"/>
          <w:szCs w:val="24"/>
        </w:rPr>
        <w:tab/>
      </w:r>
    </w:p>
    <w:sectPr w:rsidR="00424BDD" w:rsidRPr="005C6001" w:rsidSect="00CD771D">
      <w:pgSz w:w="11906" w:h="16838"/>
      <w:pgMar w:top="567"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UkrainianBaltica">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7670EB0"/>
    <w:multiLevelType w:val="hybridMultilevel"/>
    <w:tmpl w:val="4426B9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CB60C93"/>
    <w:multiLevelType w:val="hybridMultilevel"/>
    <w:tmpl w:val="0AB2D1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B1E0F31"/>
    <w:multiLevelType w:val="hybridMultilevel"/>
    <w:tmpl w:val="F1AC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F00E1"/>
    <w:multiLevelType w:val="hybridMultilevel"/>
    <w:tmpl w:val="895AB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5A763F"/>
    <w:multiLevelType w:val="hybridMultilevel"/>
    <w:tmpl w:val="54A493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47B2ABA"/>
    <w:multiLevelType w:val="hybridMultilevel"/>
    <w:tmpl w:val="30C2DAD6"/>
    <w:lvl w:ilvl="0" w:tplc="8B1066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DE00E8"/>
    <w:multiLevelType w:val="hybridMultilevel"/>
    <w:tmpl w:val="E29E4BE4"/>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D19502C"/>
    <w:multiLevelType w:val="multilevel"/>
    <w:tmpl w:val="E2A45AEC"/>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0">
    <w:nsid w:val="79614DD8"/>
    <w:multiLevelType w:val="multilevel"/>
    <w:tmpl w:val="1AEC3F1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92438F"/>
    <w:multiLevelType w:val="hybridMultilevel"/>
    <w:tmpl w:val="E1B0D592"/>
    <w:lvl w:ilvl="0" w:tplc="F65CEBC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7"/>
  </w:num>
  <w:num w:numId="9">
    <w:abstractNumId w:val="11"/>
  </w:num>
  <w:num w:numId="10">
    <w:abstractNumId w:val="9"/>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7E3281"/>
    <w:rsid w:val="000E5F48"/>
    <w:rsid w:val="001037C0"/>
    <w:rsid w:val="00145697"/>
    <w:rsid w:val="001507F1"/>
    <w:rsid w:val="0018378C"/>
    <w:rsid w:val="001E6252"/>
    <w:rsid w:val="001E7F67"/>
    <w:rsid w:val="002231CE"/>
    <w:rsid w:val="0024126A"/>
    <w:rsid w:val="0027465D"/>
    <w:rsid w:val="002A7FF0"/>
    <w:rsid w:val="002B272F"/>
    <w:rsid w:val="002E378A"/>
    <w:rsid w:val="003722A8"/>
    <w:rsid w:val="0039703C"/>
    <w:rsid w:val="003A612B"/>
    <w:rsid w:val="003C6162"/>
    <w:rsid w:val="0041637C"/>
    <w:rsid w:val="00424BDD"/>
    <w:rsid w:val="00441F47"/>
    <w:rsid w:val="00456881"/>
    <w:rsid w:val="004B36F8"/>
    <w:rsid w:val="004F2C6B"/>
    <w:rsid w:val="005158EC"/>
    <w:rsid w:val="005472DF"/>
    <w:rsid w:val="00570D17"/>
    <w:rsid w:val="00587C7C"/>
    <w:rsid w:val="005C5AC7"/>
    <w:rsid w:val="005C5BAA"/>
    <w:rsid w:val="005C6001"/>
    <w:rsid w:val="005E51C4"/>
    <w:rsid w:val="006125A0"/>
    <w:rsid w:val="00633E3F"/>
    <w:rsid w:val="00683E8A"/>
    <w:rsid w:val="00694C9A"/>
    <w:rsid w:val="006D0D90"/>
    <w:rsid w:val="0072049F"/>
    <w:rsid w:val="007223C7"/>
    <w:rsid w:val="00730DA2"/>
    <w:rsid w:val="00793E5E"/>
    <w:rsid w:val="007C44DD"/>
    <w:rsid w:val="007E3281"/>
    <w:rsid w:val="007E708E"/>
    <w:rsid w:val="007F01A8"/>
    <w:rsid w:val="00844B69"/>
    <w:rsid w:val="008455ED"/>
    <w:rsid w:val="00846C61"/>
    <w:rsid w:val="009969B7"/>
    <w:rsid w:val="00A01434"/>
    <w:rsid w:val="00A103DF"/>
    <w:rsid w:val="00A400B0"/>
    <w:rsid w:val="00A734A6"/>
    <w:rsid w:val="00A93B02"/>
    <w:rsid w:val="00B17771"/>
    <w:rsid w:val="00BE3EFE"/>
    <w:rsid w:val="00C010D5"/>
    <w:rsid w:val="00C374DE"/>
    <w:rsid w:val="00CC3046"/>
    <w:rsid w:val="00CD771D"/>
    <w:rsid w:val="00CE0CEA"/>
    <w:rsid w:val="00D64C74"/>
    <w:rsid w:val="00DE2BCA"/>
    <w:rsid w:val="00E07E65"/>
    <w:rsid w:val="00E16151"/>
    <w:rsid w:val="00E22FFA"/>
    <w:rsid w:val="00E303CC"/>
    <w:rsid w:val="00E5396C"/>
    <w:rsid w:val="00E92E12"/>
    <w:rsid w:val="00E94627"/>
    <w:rsid w:val="00EE48B2"/>
    <w:rsid w:val="00F11B48"/>
    <w:rsid w:val="00F35638"/>
    <w:rsid w:val="00F66AF9"/>
    <w:rsid w:val="00FC0222"/>
    <w:rsid w:val="00FC54BF"/>
    <w:rsid w:val="00FF7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281"/>
    <w:pPr>
      <w:spacing w:after="0" w:line="240" w:lineRule="auto"/>
    </w:pPr>
    <w:rPr>
      <w:rFonts w:ascii="Times New Roman" w:eastAsia="Times New Roman" w:hAnsi="Times New Roman" w:cs="Times New Roman"/>
      <w:sz w:val="28"/>
      <w:szCs w:val="28"/>
      <w:lang w:val="uk-UA" w:eastAsia="uk-UA"/>
    </w:rPr>
  </w:style>
  <w:style w:type="paragraph" w:styleId="1">
    <w:name w:val="heading 1"/>
    <w:basedOn w:val="a"/>
    <w:next w:val="a"/>
    <w:link w:val="10"/>
    <w:uiPriority w:val="9"/>
    <w:qFormat/>
    <w:rsid w:val="00A93B02"/>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EBRD List Знак,заголовок 1.1 Знак,CA bullets Знак,Chapter10 Знак,Number Bullets Знак,List Paragraph (numbered (a)) Знак,AC List 01 Знак"/>
    <w:link w:val="a4"/>
    <w:uiPriority w:val="34"/>
    <w:locked/>
    <w:rsid w:val="007E3281"/>
    <w:rPr>
      <w:rFonts w:ascii="UkrainianBaltica" w:hAnsi="UkrainianBaltica"/>
      <w:sz w:val="20"/>
      <w:szCs w:val="20"/>
      <w:lang w:eastAsia="ru-RU"/>
    </w:rPr>
  </w:style>
  <w:style w:type="paragraph" w:styleId="a4">
    <w:name w:val="List Paragraph"/>
    <w:aliases w:val="EBRD List,заголовок 1.1,CA bullets,Chapter10,Number Bullets,List Paragraph (numbered (a)),AC List 01"/>
    <w:basedOn w:val="a"/>
    <w:link w:val="a3"/>
    <w:qFormat/>
    <w:rsid w:val="007E3281"/>
    <w:pPr>
      <w:ind w:left="720"/>
      <w:contextualSpacing/>
    </w:pPr>
    <w:rPr>
      <w:rFonts w:ascii="UkrainianBaltica" w:eastAsiaTheme="minorHAnsi" w:hAnsi="UkrainianBaltica" w:cstheme="minorBidi"/>
      <w:sz w:val="20"/>
      <w:szCs w:val="20"/>
      <w:lang w:val="ru-RU" w:eastAsia="ru-RU"/>
    </w:rPr>
  </w:style>
  <w:style w:type="paragraph" w:customStyle="1" w:styleId="Standard">
    <w:name w:val="Standard"/>
    <w:rsid w:val="007E3281"/>
    <w:pPr>
      <w:widowControl w:val="0"/>
      <w:suppressAutoHyphens/>
      <w:autoSpaceDN w:val="0"/>
      <w:spacing w:after="0" w:line="240" w:lineRule="auto"/>
    </w:pPr>
    <w:rPr>
      <w:rFonts w:ascii="Calibri" w:eastAsia="Times New Roman" w:hAnsi="Calibri" w:cs="Tahoma"/>
      <w:color w:val="000000"/>
      <w:kern w:val="3"/>
      <w:sz w:val="24"/>
      <w:szCs w:val="24"/>
      <w:lang w:val="en-US"/>
    </w:rPr>
  </w:style>
  <w:style w:type="character" w:customStyle="1" w:styleId="10">
    <w:name w:val="Заголовок 1 Знак"/>
    <w:basedOn w:val="a0"/>
    <w:link w:val="1"/>
    <w:uiPriority w:val="9"/>
    <w:rsid w:val="00A93B02"/>
    <w:rPr>
      <w:rFonts w:asciiTheme="majorHAnsi" w:eastAsiaTheme="majorEastAsia" w:hAnsiTheme="majorHAnsi" w:cstheme="majorBidi"/>
      <w:color w:val="2F5496" w:themeColor="accent1" w:themeShade="BF"/>
      <w:sz w:val="32"/>
      <w:szCs w:val="32"/>
      <w:lang w:val="en-US"/>
    </w:rPr>
  </w:style>
  <w:style w:type="paragraph" w:styleId="a5">
    <w:name w:val="footer"/>
    <w:basedOn w:val="a"/>
    <w:link w:val="a6"/>
    <w:uiPriority w:val="99"/>
    <w:unhideWhenUsed/>
    <w:rsid w:val="00E303CC"/>
    <w:pPr>
      <w:tabs>
        <w:tab w:val="center" w:pos="4986"/>
        <w:tab w:val="right" w:pos="9973"/>
      </w:tabs>
    </w:pPr>
    <w:rPr>
      <w:rFonts w:asciiTheme="minorHAnsi" w:eastAsiaTheme="minorHAnsi" w:hAnsiTheme="minorHAnsi" w:cstheme="minorBidi"/>
      <w:sz w:val="22"/>
      <w:szCs w:val="22"/>
      <w:lang w:val="en-US" w:eastAsia="en-US"/>
    </w:rPr>
  </w:style>
  <w:style w:type="character" w:customStyle="1" w:styleId="a6">
    <w:name w:val="Нижний колонтитул Знак"/>
    <w:basedOn w:val="a0"/>
    <w:link w:val="a5"/>
    <w:uiPriority w:val="99"/>
    <w:rsid w:val="00E303CC"/>
    <w:rPr>
      <w:lang w:val="en-US"/>
    </w:rPr>
  </w:style>
  <w:style w:type="table" w:customStyle="1" w:styleId="2">
    <w:name w:val="Сетка таблицы2"/>
    <w:basedOn w:val="a1"/>
    <w:next w:val="a7"/>
    <w:uiPriority w:val="39"/>
    <w:rsid w:val="00DE2B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DE2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633E3F"/>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281"/>
    <w:pPr>
      <w:spacing w:after="0" w:line="240" w:lineRule="auto"/>
    </w:pPr>
    <w:rPr>
      <w:rFonts w:ascii="Times New Roman" w:eastAsia="Times New Roman" w:hAnsi="Times New Roman" w:cs="Times New Roman"/>
      <w:sz w:val="28"/>
      <w:szCs w:val="28"/>
      <w:lang w:val="uk-UA" w:eastAsia="uk-UA"/>
    </w:rPr>
  </w:style>
  <w:style w:type="paragraph" w:styleId="1">
    <w:name w:val="heading 1"/>
    <w:basedOn w:val="a"/>
    <w:next w:val="a"/>
    <w:link w:val="10"/>
    <w:uiPriority w:val="9"/>
    <w:qFormat/>
    <w:rsid w:val="00A93B02"/>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EBRD List Знак,заголовок 1.1 Знак,CA bullets Знак,Chapter10 Знак,Number Bullets Знак,List Paragraph (numbered (a)) Знак,AC List 01 Знак"/>
    <w:link w:val="a4"/>
    <w:uiPriority w:val="34"/>
    <w:locked/>
    <w:rsid w:val="007E3281"/>
    <w:rPr>
      <w:rFonts w:ascii="UkrainianBaltica" w:hAnsi="UkrainianBaltica"/>
      <w:sz w:val="20"/>
      <w:szCs w:val="20"/>
      <w:lang w:eastAsia="ru-RU"/>
    </w:rPr>
  </w:style>
  <w:style w:type="paragraph" w:styleId="a4">
    <w:name w:val="List Paragraph"/>
    <w:aliases w:val="EBRD List,заголовок 1.1,CA bullets,Chapter10,Number Bullets,List Paragraph (numbered (a)),AC List 01"/>
    <w:basedOn w:val="a"/>
    <w:link w:val="a3"/>
    <w:uiPriority w:val="34"/>
    <w:qFormat/>
    <w:rsid w:val="007E3281"/>
    <w:pPr>
      <w:ind w:left="720"/>
      <w:contextualSpacing/>
    </w:pPr>
    <w:rPr>
      <w:rFonts w:ascii="UkrainianBaltica" w:eastAsiaTheme="minorHAnsi" w:hAnsi="UkrainianBaltica" w:cstheme="minorBidi"/>
      <w:sz w:val="20"/>
      <w:szCs w:val="20"/>
      <w:lang w:val="ru-RU" w:eastAsia="ru-RU"/>
    </w:rPr>
  </w:style>
  <w:style w:type="paragraph" w:customStyle="1" w:styleId="Standard">
    <w:name w:val="Standard"/>
    <w:rsid w:val="007E3281"/>
    <w:pPr>
      <w:widowControl w:val="0"/>
      <w:suppressAutoHyphens/>
      <w:autoSpaceDN w:val="0"/>
      <w:spacing w:after="0" w:line="240" w:lineRule="auto"/>
    </w:pPr>
    <w:rPr>
      <w:rFonts w:ascii="Calibri" w:eastAsia="Times New Roman" w:hAnsi="Calibri" w:cs="Tahoma"/>
      <w:color w:val="000000"/>
      <w:kern w:val="3"/>
      <w:sz w:val="24"/>
      <w:szCs w:val="24"/>
      <w:lang w:val="en-US"/>
    </w:rPr>
  </w:style>
  <w:style w:type="character" w:customStyle="1" w:styleId="10">
    <w:name w:val="Заголовок 1 Знак"/>
    <w:basedOn w:val="a0"/>
    <w:link w:val="1"/>
    <w:uiPriority w:val="9"/>
    <w:rsid w:val="00A93B02"/>
    <w:rPr>
      <w:rFonts w:asciiTheme="majorHAnsi" w:eastAsiaTheme="majorEastAsia" w:hAnsiTheme="majorHAnsi" w:cstheme="majorBidi"/>
      <w:color w:val="2F5496" w:themeColor="accent1" w:themeShade="BF"/>
      <w:sz w:val="32"/>
      <w:szCs w:val="32"/>
      <w:lang w:val="en-US"/>
    </w:rPr>
  </w:style>
  <w:style w:type="paragraph" w:styleId="a5">
    <w:name w:val="footer"/>
    <w:basedOn w:val="a"/>
    <w:link w:val="a6"/>
    <w:uiPriority w:val="99"/>
    <w:unhideWhenUsed/>
    <w:rsid w:val="00E303CC"/>
    <w:pPr>
      <w:tabs>
        <w:tab w:val="center" w:pos="4986"/>
        <w:tab w:val="right" w:pos="9973"/>
      </w:tabs>
    </w:pPr>
    <w:rPr>
      <w:rFonts w:asciiTheme="minorHAnsi" w:eastAsiaTheme="minorHAnsi" w:hAnsiTheme="minorHAnsi" w:cstheme="minorBidi"/>
      <w:sz w:val="22"/>
      <w:szCs w:val="22"/>
      <w:lang w:val="en-US" w:eastAsia="en-US"/>
    </w:rPr>
  </w:style>
  <w:style w:type="character" w:customStyle="1" w:styleId="a6">
    <w:name w:val="Нижний колонтитул Знак"/>
    <w:basedOn w:val="a0"/>
    <w:link w:val="a5"/>
    <w:uiPriority w:val="99"/>
    <w:rsid w:val="00E303CC"/>
    <w:rPr>
      <w:lang w:val="en-US"/>
    </w:rPr>
  </w:style>
  <w:style w:type="table" w:customStyle="1" w:styleId="2">
    <w:name w:val="Сетка таблицы2"/>
    <w:basedOn w:val="a1"/>
    <w:next w:val="a7"/>
    <w:uiPriority w:val="39"/>
    <w:rsid w:val="00DE2B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DE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80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Valya Valya</dc:creator>
  <cp:lastModifiedBy>admin</cp:lastModifiedBy>
  <cp:revision>6</cp:revision>
  <cp:lastPrinted>2022-10-12T06:00:00Z</cp:lastPrinted>
  <dcterms:created xsi:type="dcterms:W3CDTF">2022-10-12T06:00:00Z</dcterms:created>
  <dcterms:modified xsi:type="dcterms:W3CDTF">2022-10-12T06:38:00Z</dcterms:modified>
</cp:coreProperties>
</file>