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09</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04</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48</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Лікарські засоби різні – </w:t>
            </w:r>
            <w:r>
              <w:rPr>
                <w:rFonts w:hint="default" w:ascii="Times New Roman" w:hAnsi="Times New Roman" w:eastAsia="Times New Roman" w:cs="Times New Roman"/>
                <w:color w:val="000000" w:themeColor="text1"/>
                <w:sz w:val="24"/>
                <w:szCs w:val="24"/>
                <w:lang w:val="uk-UA"/>
                <w14:textFill>
                  <w14:solidFill>
                    <w14:schemeClr w14:val="tx1"/>
                  </w14:solidFill>
                </w14:textFill>
              </w:rPr>
              <w:t>97</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17</w:t>
            </w:r>
            <w:r>
              <w:rPr>
                <w:rFonts w:ascii="Times New Roman" w:hAnsi="Times New Roman" w:eastAsia="Times New Roman" w:cs="Times New Roman"/>
                <w:b/>
                <w:bCs/>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квітня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numId w:val="0"/>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sz w:val="24"/>
                <w:szCs w:val="24"/>
                <w:lang w:val="uk-UA"/>
              </w:rPr>
              <w:t xml:space="preserve">Якщо замовник вважає таке підтвердження достатнім, тендерна пропозиція </w:t>
            </w:r>
            <w:bookmarkStart w:id="7" w:name="_GoBack"/>
            <w:bookmarkEnd w:id="7"/>
            <w:r>
              <w:rPr>
                <w:rFonts w:hint="default" w:ascii="Times New Roman" w:hAnsi="Times New Roman" w:eastAsia="Times New Roman"/>
                <w:sz w:val="24"/>
                <w:szCs w:val="24"/>
                <w:lang w:val="uk-UA"/>
              </w:rPr>
              <w:t>такого учасника не може бути відхилена.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ind w:firstLine="2760" w:firstLineChars="11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en-US"/>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4063019"/>
    <w:rsid w:val="284C294F"/>
    <w:rsid w:val="285460AF"/>
    <w:rsid w:val="2AE268A2"/>
    <w:rsid w:val="2AEA019B"/>
    <w:rsid w:val="2B4E02AD"/>
    <w:rsid w:val="2E952B69"/>
    <w:rsid w:val="2F852F9A"/>
    <w:rsid w:val="32771623"/>
    <w:rsid w:val="37DE4913"/>
    <w:rsid w:val="3C77542D"/>
    <w:rsid w:val="41014141"/>
    <w:rsid w:val="411B0BA6"/>
    <w:rsid w:val="42B75230"/>
    <w:rsid w:val="45DA1AEC"/>
    <w:rsid w:val="56B824A7"/>
    <w:rsid w:val="58B36577"/>
    <w:rsid w:val="5E3E6088"/>
    <w:rsid w:val="634256B4"/>
    <w:rsid w:val="65DF6C94"/>
    <w:rsid w:val="68186B5C"/>
    <w:rsid w:val="6FA15E5C"/>
    <w:rsid w:val="745D6F15"/>
    <w:rsid w:val="7546349C"/>
    <w:rsid w:val="770A73B3"/>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tblPr>
      <w:tblCellMar>
        <w:left w:w="108" w:type="dxa"/>
        <w:right w:w="108" w:type="dxa"/>
      </w:tblCellMar>
    </w:tblPr>
  </w:style>
  <w:style w:type="table" w:customStyle="1" w:styleId="24">
    <w:name w:val="_Style 25"/>
    <w:basedOn w:val="16"/>
    <w:qFormat/>
    <w:uiPriority w:val="0"/>
    <w:tblPr>
      <w:tblCellMar>
        <w:left w:w="108" w:type="dxa"/>
        <w:right w:w="108" w:type="dxa"/>
      </w:tblCellMar>
    </w:tblPr>
  </w:style>
  <w:style w:type="table" w:customStyle="1" w:styleId="25">
    <w:name w:val="_Style 26"/>
    <w:basedOn w:val="16"/>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34161</Words>
  <Characters>19472</Characters>
  <Lines>162</Lines>
  <Paragraphs>107</Paragraphs>
  <TotalTime>63</TotalTime>
  <ScaleCrop>false</ScaleCrop>
  <LinksUpToDate>false</LinksUpToDate>
  <CharactersWithSpaces>53526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2024-04-09T12:29:14Z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5A316BB1A6BE49ACB262031597E94DB9_13</vt:lpwstr>
  </property>
</Properties>
</file>