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B6D72">
        <w:rPr>
          <w:rFonts w:ascii="Times New Roman" w:hAnsi="Times New Roman" w:cs="Times New Roman"/>
          <w:b/>
          <w:noProof/>
          <w:sz w:val="24"/>
          <w:szCs w:val="24"/>
        </w:rPr>
        <w:t>Додаток  6</w:t>
      </w:r>
    </w:p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B6D72">
        <w:rPr>
          <w:rFonts w:ascii="Times New Roman" w:hAnsi="Times New Roman" w:cs="Times New Roman"/>
          <w:b/>
          <w:noProof/>
          <w:sz w:val="24"/>
          <w:szCs w:val="24"/>
        </w:rPr>
        <w:t xml:space="preserve">до тендерної документації </w:t>
      </w:r>
    </w:p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35C8" w:rsidRPr="005B6D72" w:rsidRDefault="009835C8" w:rsidP="009835C8">
      <w:pPr>
        <w:tabs>
          <w:tab w:val="left" w:pos="9639"/>
        </w:tabs>
        <w:spacing w:after="0" w:line="240" w:lineRule="auto"/>
        <w:ind w:left="-709" w:right="-8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6D72">
        <w:rPr>
          <w:rFonts w:ascii="Times New Roman" w:hAnsi="Times New Roman" w:cs="Times New Roman"/>
          <w:i/>
          <w:iCs/>
          <w:sz w:val="24"/>
          <w:szCs w:val="24"/>
        </w:rPr>
        <w:t>Форма „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Тендерна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пропозиція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 у вигляді, наведеному нижче.</w:t>
      </w:r>
    </w:p>
    <w:p w:rsidR="009835C8" w:rsidRDefault="009835C8" w:rsidP="009835C8">
      <w:pPr>
        <w:tabs>
          <w:tab w:val="left" w:pos="9639"/>
        </w:tabs>
        <w:suppressAutoHyphens/>
        <w:spacing w:after="0" w:line="240" w:lineRule="auto"/>
        <w:ind w:right="-8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6D72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 та заповнює всі необхідні графи</w:t>
      </w:r>
    </w:p>
    <w:p w:rsidR="009835C8" w:rsidRPr="005B6D72" w:rsidRDefault="009835C8" w:rsidP="009835C8">
      <w:pPr>
        <w:tabs>
          <w:tab w:val="left" w:pos="9639"/>
        </w:tabs>
        <w:suppressAutoHyphens/>
        <w:spacing w:after="0" w:line="240" w:lineRule="auto"/>
        <w:ind w:right="-8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35C8" w:rsidRPr="005B6D72" w:rsidRDefault="009835C8" w:rsidP="009835C8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ФОРМА „</w:t>
      </w:r>
      <w:proofErr w:type="spellStart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Тендерна</w:t>
      </w:r>
      <w:proofErr w:type="spellEnd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пропозиція</w:t>
      </w:r>
      <w:proofErr w:type="spellEnd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”</w:t>
      </w:r>
    </w:p>
    <w:p w:rsidR="009835C8" w:rsidRDefault="009835C8" w:rsidP="009835C8">
      <w:pPr>
        <w:pStyle w:val="a3"/>
        <w:jc w:val="center"/>
        <w:rPr>
          <w:rFonts w:ascii="Times New Roman" w:hAnsi="Times New Roman"/>
        </w:rPr>
      </w:pPr>
      <w:r w:rsidRPr="005B6D72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9835C8" w:rsidRPr="005B6D72" w:rsidRDefault="009835C8" w:rsidP="009835C8">
      <w:pPr>
        <w:pStyle w:val="a3"/>
        <w:jc w:val="center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3544"/>
      </w:tblGrid>
      <w:tr w:rsidR="009835C8" w:rsidRPr="005B6D72" w:rsidTr="00EE386D">
        <w:tc>
          <w:tcPr>
            <w:tcW w:w="10915" w:type="dxa"/>
            <w:gridSpan w:val="2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Місцезнаходження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Факс, електронна адреса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10915" w:type="dxa"/>
            <w:gridSpan w:val="2"/>
          </w:tcPr>
          <w:p w:rsidR="009835C8" w:rsidRPr="003F4111" w:rsidRDefault="009835C8" w:rsidP="00EE386D">
            <w:pPr>
              <w:pStyle w:val="a5"/>
              <w:spacing w:before="0" w:beforeAutospacing="0" w:after="0" w:afterAutospacing="0"/>
              <w:rPr>
                <w:rFonts w:eastAsiaTheme="minorEastAsia"/>
                <w:noProof/>
                <w:szCs w:val="24"/>
                <w:lang w:eastAsia="en-US"/>
              </w:rPr>
            </w:pPr>
          </w:p>
          <w:p w:rsidR="009835C8" w:rsidRPr="003F4111" w:rsidRDefault="009835C8" w:rsidP="003F411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Ми, ___________ (повна назва Учасника), надаємо свою тендерну пропозицію щодо участі у відкритих торгах на закупівлю: </w:t>
            </w:r>
            <w:r w:rsidR="001615F7" w:rsidRPr="001615F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Код ДК 021:2015:44810000-1 «Водоемульсійна фарба та барвник до водоемульсійної фарби»</w:t>
            </w:r>
            <w:r w:rsidR="00F5507D"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згідно з технічними та іншими вимогами Замовника торгів.</w:t>
            </w:r>
          </w:p>
          <w:p w:rsidR="009835C8" w:rsidRPr="005B6D72" w:rsidRDefault="009835C8" w:rsidP="00EE38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 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5"/>
              <w:gridCol w:w="1275"/>
              <w:gridCol w:w="2410"/>
              <w:gridCol w:w="1418"/>
              <w:gridCol w:w="1701"/>
            </w:tblGrid>
            <w:tr w:rsidR="009835C8" w:rsidRPr="003F4111" w:rsidTr="009835C8">
              <w:trPr>
                <w:trHeight w:val="818"/>
              </w:trPr>
              <w:tc>
                <w:tcPr>
                  <w:tcW w:w="3715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Найменування товару</w:t>
                  </w:r>
                </w:p>
              </w:tc>
              <w:tc>
                <w:tcPr>
                  <w:tcW w:w="1275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Одиниця виміру</w:t>
                  </w:r>
                </w:p>
              </w:tc>
              <w:tc>
                <w:tcPr>
                  <w:tcW w:w="2410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Ціна за одиницю виміру (грн. з ПДВ*)</w:t>
                  </w:r>
                </w:p>
              </w:tc>
              <w:tc>
                <w:tcPr>
                  <w:tcW w:w="1418" w:type="dxa"/>
                </w:tcPr>
                <w:p w:rsidR="009835C8" w:rsidRPr="003F4111" w:rsidRDefault="009835C8" w:rsidP="00EE386D">
                  <w:pPr>
                    <w:pStyle w:val="a3"/>
                    <w:ind w:hanging="146"/>
                    <w:jc w:val="center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Кількість</w:t>
                  </w:r>
                </w:p>
              </w:tc>
              <w:tc>
                <w:tcPr>
                  <w:tcW w:w="1701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Загальна вартість</w:t>
                  </w:r>
                </w:p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(грн. з ПДВ*)</w:t>
                  </w:r>
                </w:p>
              </w:tc>
            </w:tr>
            <w:tr w:rsidR="009835C8" w:rsidRPr="003F4111" w:rsidTr="009835C8">
              <w:tc>
                <w:tcPr>
                  <w:tcW w:w="3715" w:type="dxa"/>
                </w:tcPr>
                <w:p w:rsidR="009835C8" w:rsidRPr="00EC2630" w:rsidRDefault="001615F7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>Водоемульсійна фарба</w:t>
                  </w:r>
                  <w:r w:rsidR="00EC2630">
                    <w:rPr>
                      <w:rFonts w:ascii="Times New Roman" w:eastAsiaTheme="minorEastAsia" w:hAnsi="Times New Roman"/>
                      <w:noProof/>
                      <w:lang w:val="en-US" w:eastAsia="en-US"/>
                    </w:rPr>
                    <w:t xml:space="preserve"> 10 </w:t>
                  </w:r>
                  <w:r w:rsidR="00EC2630"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 xml:space="preserve">л </w:t>
                  </w:r>
                </w:p>
              </w:tc>
              <w:tc>
                <w:tcPr>
                  <w:tcW w:w="1275" w:type="dxa"/>
                </w:tcPr>
                <w:p w:rsidR="009835C8" w:rsidRPr="00F75AB3" w:rsidRDefault="00EC2630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>шт</w:t>
                  </w:r>
                  <w:r w:rsidR="00F75AB3">
                    <w:rPr>
                      <w:rFonts w:ascii="Times New Roman" w:eastAsiaTheme="minorEastAsia" w:hAnsi="Times New Roman"/>
                      <w:noProof/>
                      <w:lang w:val="en-US" w:eastAsia="en-US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9835C8" w:rsidRPr="00E034A7" w:rsidRDefault="00EC2630" w:rsidP="00E034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</w:tr>
            <w:tr w:rsidR="001615F7" w:rsidRPr="003F4111" w:rsidTr="009835C8">
              <w:tc>
                <w:tcPr>
                  <w:tcW w:w="3715" w:type="dxa"/>
                </w:tcPr>
                <w:p w:rsidR="001615F7" w:rsidRPr="00F75AB3" w:rsidRDefault="001615F7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 xml:space="preserve">Барвник до фарби водоемульсійної </w:t>
                  </w:r>
                  <w:r w:rsidR="00EC2630"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 xml:space="preserve"> 250 г</w:t>
                  </w:r>
                </w:p>
              </w:tc>
              <w:tc>
                <w:tcPr>
                  <w:tcW w:w="1275" w:type="dxa"/>
                </w:tcPr>
                <w:p w:rsidR="001615F7" w:rsidRDefault="00EC2630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>шт.</w:t>
                  </w:r>
                </w:p>
              </w:tc>
              <w:tc>
                <w:tcPr>
                  <w:tcW w:w="2410" w:type="dxa"/>
                </w:tcPr>
                <w:p w:rsidR="001615F7" w:rsidRPr="003F4111" w:rsidRDefault="001615F7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1615F7" w:rsidRDefault="00EE47BF" w:rsidP="00E034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1615F7" w:rsidRPr="003F4111" w:rsidRDefault="001615F7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</w:tr>
            <w:tr w:rsidR="009835C8" w:rsidRPr="003F4111" w:rsidTr="009835C8">
              <w:tc>
                <w:tcPr>
                  <w:tcW w:w="10519" w:type="dxa"/>
                  <w:gridSpan w:val="5"/>
                  <w:shd w:val="clear" w:color="auto" w:fill="E6E6E6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Загальна вартість пропозиції (зазначається цифрами та прописом)</w:t>
                  </w:r>
                </w:p>
              </w:tc>
            </w:tr>
          </w:tbl>
          <w:p w:rsidR="009835C8" w:rsidRPr="003F4111" w:rsidRDefault="009835C8" w:rsidP="00EE386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</w:t>
            </w: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      </w: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Доставка товару, що передається на адресу Замовника, здійснюється за рахунок Учасника.</w:t>
            </w:r>
          </w:p>
          <w:p w:rsidR="009835C8" w:rsidRPr="009835C8" w:rsidRDefault="009835C8" w:rsidP="009835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835C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Ми погоджуємося дотримуватися у</w:t>
            </w:r>
            <w:r w:rsidR="001615F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мов цієї пропозиції протягом  9</w:t>
            </w:r>
            <w:r w:rsidRPr="009835C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0 календарних днів з дати розкриття тендерних пропозицій.  </w:t>
            </w:r>
          </w:p>
          <w:p w:rsidR="009835C8" w:rsidRPr="003F4111" w:rsidRDefault="009835C8" w:rsidP="009835C8">
            <w:pPr>
              <w:pStyle w:val="a3"/>
              <w:tabs>
                <w:tab w:val="left" w:pos="525"/>
              </w:tabs>
              <w:ind w:right="317"/>
              <w:jc w:val="both"/>
              <w:rPr>
                <w:rFonts w:ascii="Times New Roman" w:eastAsiaTheme="minorEastAsia" w:hAnsi="Times New Roman"/>
                <w:noProof/>
                <w:lang w:eastAsia="en-US"/>
              </w:rPr>
            </w:pPr>
            <w:r>
              <w:rPr>
                <w:rFonts w:ascii="Times New Roman" w:eastAsiaTheme="minorEastAsia" w:hAnsi="Times New Roman"/>
                <w:noProof/>
                <w:lang w:eastAsia="en-US"/>
              </w:rPr>
              <w:t xml:space="preserve">      </w:t>
            </w:r>
            <w:r w:rsidRPr="003F4111">
              <w:rPr>
                <w:rFonts w:ascii="Times New Roman" w:eastAsiaTheme="minorEastAsia" w:hAnsi="Times New Roman"/>
                <w:noProof/>
                <w:lang w:eastAsia="en-US"/>
              </w:rPr>
      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9835C8" w:rsidRPr="003F4111" w:rsidRDefault="009835C8" w:rsidP="00EE386D">
            <w:pPr>
              <w:pStyle w:val="a3"/>
              <w:jc w:val="both"/>
              <w:rPr>
                <w:rFonts w:ascii="Times New Roman" w:eastAsiaTheme="minorEastAsia" w:hAnsi="Times New Roman"/>
                <w:noProof/>
                <w:lang w:eastAsia="en-US"/>
              </w:rPr>
            </w:pPr>
            <w:r w:rsidRPr="003F4111">
              <w:rPr>
                <w:rFonts w:ascii="Times New Roman" w:eastAsiaTheme="minorEastAsia" w:hAnsi="Times New Roman"/>
                <w:noProof/>
                <w:lang w:eastAsia="en-US"/>
              </w:rPr>
              <w:t xml:space="preserve">      3. Якщо наша пропозиція буде визнана переможцем, ми зобов'язуємося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      </w:r>
          </w:p>
        </w:tc>
      </w:tr>
    </w:tbl>
    <w:p w:rsidR="009835C8" w:rsidRPr="005B6D72" w:rsidRDefault="009835C8" w:rsidP="009835C8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9835C8" w:rsidRPr="00646757" w:rsidRDefault="009835C8" w:rsidP="009835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0"/>
          <w:szCs w:val="20"/>
          <w:lang w:eastAsia="ar-SA"/>
        </w:rPr>
      </w:pPr>
    </w:p>
    <w:sectPr w:rsidR="009835C8" w:rsidRPr="00646757" w:rsidSect="00E034A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B12"/>
    <w:multiLevelType w:val="hybridMultilevel"/>
    <w:tmpl w:val="FC04C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35C8"/>
    <w:rsid w:val="001615F7"/>
    <w:rsid w:val="003F4111"/>
    <w:rsid w:val="00982A39"/>
    <w:rsid w:val="009835C8"/>
    <w:rsid w:val="00BD592F"/>
    <w:rsid w:val="00E034A7"/>
    <w:rsid w:val="00EC2630"/>
    <w:rsid w:val="00EE47BF"/>
    <w:rsid w:val="00F5507D"/>
    <w:rsid w:val="00F75AB3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619B"/>
  <w15:docId w15:val="{0AA616CD-FDB7-4B52-BAE9-047327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835C8"/>
  </w:style>
  <w:style w:type="paragraph" w:styleId="a3">
    <w:name w:val="No Spacing"/>
    <w:link w:val="a4"/>
    <w:uiPriority w:val="1"/>
    <w:qFormat/>
    <w:rsid w:val="00983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835C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rmal (Web)"/>
    <w:aliases w:val="Обычный (веб) Знак"/>
    <w:basedOn w:val="a"/>
    <w:link w:val="1"/>
    <w:uiPriority w:val="99"/>
    <w:rsid w:val="0098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бычный (веб) Знак1"/>
    <w:aliases w:val="Обычный (веб) Знак Знак"/>
    <w:link w:val="a5"/>
    <w:uiPriority w:val="99"/>
    <w:locked/>
    <w:rsid w:val="00983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8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2020-10-23T08:09:00Z</dcterms:created>
  <dcterms:modified xsi:type="dcterms:W3CDTF">2022-08-27T13:15:00Z</dcterms:modified>
</cp:coreProperties>
</file>