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288" w:type="dxa"/>
        <w:tblLayout w:type="fixed"/>
        <w:tblCellMar>
          <w:top w:w="0" w:type="dxa"/>
          <w:left w:w="108" w:type="dxa"/>
          <w:bottom w:w="0" w:type="dxa"/>
          <w:right w:w="108" w:type="dxa"/>
        </w:tblCellMar>
      </w:tblPr>
      <w:tblGrid>
        <w:gridCol w:w="5063"/>
        <w:gridCol w:w="3828"/>
      </w:tblGrid>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ЗАТВЕРДЖЕНО</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cs="Times New Roman" w:ascii="Times New Roman" w:hAnsi="Times New Roman"/>
                <w:color w:val="auto"/>
                <w:kern w:val="0"/>
                <w:sz w:val="24"/>
                <w:szCs w:val="24"/>
                <w:lang w:val="ru-RU" w:eastAsia="en-US" w:bidi="ar-SA"/>
              </w:rPr>
              <w:t>13.09</w:t>
            </w:r>
            <w:r>
              <w:rPr>
                <w:rFonts w:eastAsia="Times New Roman" w:cs="Times New Roman" w:ascii="Times New Roman" w:hAnsi="Times New Roman"/>
                <w:sz w:val="24"/>
                <w:szCs w:val="24"/>
                <w:lang w:val="ru-RU"/>
              </w:rPr>
              <w:t>.</w:t>
            </w:r>
            <w:r>
              <w:rPr>
                <w:rFonts w:eastAsia="Times New Roman" w:ascii="Times New Roman" w:hAnsi="Times New Roman"/>
                <w:sz w:val="24"/>
                <w:szCs w:val="24"/>
                <w:lang w:val="ru-RU"/>
              </w:rPr>
              <w:t>2023</w:t>
            </w:r>
            <w:r>
              <w:rPr>
                <w:rFonts w:eastAsia="Times New Roman" w:ascii="Times New Roman" w:hAnsi="Times New Roman"/>
                <w:sz w:val="24"/>
                <w:szCs w:val="24"/>
              </w:rPr>
              <w:t xml:space="preserve"> року</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219</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right="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b/>
                <w:b/>
                <w:bCs/>
                <w:i/>
                <w:i/>
                <w:iCs/>
                <w:sz w:val="72"/>
                <w:szCs w:val="72"/>
              </w:rPr>
            </w:pPr>
            <w:r>
              <w:rPr>
                <w:rFonts w:ascii="Times New Roman" w:hAnsi="Times New Roman"/>
                <w:b/>
                <w:bCs/>
                <w:i/>
                <w:iCs/>
                <w:sz w:val="72"/>
                <w:szCs w:val="72"/>
              </w:rPr>
              <w:t>Спеціальна аварійно-рятувальна машина важкого типу (САРМ-В)</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i/>
                <w:i/>
                <w:spacing w:val="2"/>
                <w:sz w:val="28"/>
                <w:szCs w:val="28"/>
              </w:rPr>
            </w:pPr>
            <w:r>
              <w:rPr>
                <w:rFonts w:ascii="Times New Roman" w:hAnsi="Times New Roman"/>
                <w:b/>
                <w:i/>
                <w:spacing w:val="2"/>
                <w:sz w:val="28"/>
                <w:szCs w:val="28"/>
              </w:rPr>
              <w:t>Код ДК 021:2015- 34140000-0: Великовантажні мототранспортні засоби</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bookmarkStart w:id="0" w:name="_heading=h.1fob9te"/>
      <w:bookmarkEnd w:id="0"/>
      <w:r>
        <w:rPr>
          <w:rFonts w:eastAsia="Calibri" w:cs="Times New Roman" w:ascii="Times New Roman" w:hAnsi="Times New Roman"/>
          <w:b w:val="false"/>
          <w:bCs w:val="false"/>
          <w:sz w:val="24"/>
          <w:szCs w:val="24"/>
          <w:shd w:fill="FFFFFF" w:val="clear"/>
          <w:lang w:eastAsia="ar-SA"/>
        </w:rPr>
        <w:t>202</w:t>
      </w:r>
      <w:r>
        <w:rPr>
          <w:rFonts w:eastAsia="Calibri" w:cs="Times New Roman" w:ascii="Times New Roman" w:hAnsi="Times New Roman"/>
          <w:b w:val="false"/>
          <w:bCs w:val="false"/>
          <w:sz w:val="24"/>
          <w:szCs w:val="24"/>
          <w:shd w:fill="FFFFFF" w:val="clear"/>
          <w:lang w:val="ru-RU" w:eastAsia="ar-SA"/>
        </w:rPr>
        <w:t>3</w:t>
      </w:r>
      <w:r>
        <w:rPr>
          <w:rFonts w:eastAsia="Calibri" w:cs="Times New Roman" w:ascii="Times New Roman" w:hAnsi="Times New Roman"/>
          <w:b w:val="false"/>
          <w:bCs w:val="false"/>
          <w:sz w:val="24"/>
          <w:szCs w:val="24"/>
          <w:shd w:fill="FFFFFF" w:val="clear"/>
          <w:lang w:eastAsia="ar-SA"/>
        </w:rPr>
        <w:t xml:space="preserve"> рік</w:t>
      </w:r>
    </w:p>
    <w:tbl>
      <w:tblPr>
        <w:tblW w:w="9960" w:type="dxa"/>
        <w:jc w:val="center"/>
        <w:tblInd w:w="0" w:type="dxa"/>
        <w:tblLayout w:type="fixed"/>
        <w:tblCellMar>
          <w:top w:w="0" w:type="dxa"/>
          <w:left w:w="108" w:type="dxa"/>
          <w:bottom w:w="0" w:type="dxa"/>
          <w:right w:w="108" w:type="dxa"/>
        </w:tblCellMar>
      </w:tblPr>
      <w:tblGrid>
        <w:gridCol w:w="547"/>
        <w:gridCol w:w="2978"/>
        <w:gridCol w:w="6435"/>
      </w:tblGrid>
      <w:tr>
        <w:trPr>
          <w:trHeight w:val="416" w:hRule="atLeast"/>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4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252" w:hRule="atLeast"/>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1</w:t>
            </w:r>
          </w:p>
        </w:tc>
        <w:tc>
          <w:tcPr>
            <w:tcW w:w="2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2</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3</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447"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before="0" w:after="0"/>
              <w:ind w:left="89" w:right="180" w:hanging="0"/>
              <w:jc w:val="both"/>
              <w:rPr>
                <w:rFonts w:ascii="Times New Roman" w:hAnsi="Times New Roman"/>
                <w:sz w:val="24"/>
                <w:szCs w:val="24"/>
              </w:rPr>
            </w:pPr>
            <w:r>
              <w:rPr>
                <w:rFonts w:ascii="Times New Roman" w:hAnsi="Times New Roman"/>
                <w:sz w:val="24"/>
                <w:szCs w:val="24"/>
              </w:rPr>
              <w:t>3 Спеціальний центр швидкого реагування Державної служби України з надзвичайних ситуацій</w:t>
            </w:r>
          </w:p>
        </w:tc>
      </w:tr>
      <w:tr>
        <w:trPr>
          <w:trHeight w:val="536"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Адреса поставки товару: 66410, Одеська обл., Подільський район, с. Жеребкове, вул. Арсенальна 128.</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 xml:space="preserve">Фахівець (з публічних закупівель </w:t>
            </w:r>
            <w:r>
              <w:rPr>
                <w:rFonts w:eastAsia="Times New Roman" w:cs="Times New Roman" w:ascii="Times New Roman" w:hAnsi="Times New Roman"/>
                <w:bCs/>
                <w:i w:val="false"/>
                <w:iCs w:val="false"/>
                <w:color w:val="000000"/>
                <w:sz w:val="24"/>
                <w:szCs w:val="24"/>
                <w:shd w:fill="auto" w:val="clear"/>
              </w:rPr>
              <w:t>та тендерних процедур</w:t>
            </w:r>
            <w:r>
              <w:rPr>
                <w:rFonts w:eastAsia="Times New Roman" w:cs="Times New Roman" w:ascii="Times New Roman" w:hAnsi="Times New Roman"/>
                <w:i w:val="false"/>
                <w:iCs w:val="false"/>
                <w:color w:val="000000"/>
                <w:sz w:val="24"/>
                <w:szCs w:val="24"/>
                <w:shd w:fill="auto" w:val="clear"/>
              </w:rPr>
              <w:t>) – уповноважена особа  – Ференчук Ірина Анатоліївна</w:t>
            </w:r>
          </w:p>
          <w:p>
            <w:pPr>
              <w:pStyle w:val="Normal"/>
              <w:widowControl w:val="false"/>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телефон для довідок: 066-2500566, (04863) 65-1-85,  електронна адреса:  centr3zakupki@ukr.net</w:t>
            </w:r>
          </w:p>
          <w:p>
            <w:pPr>
              <w:pStyle w:val="Normal"/>
              <w:widowControl w:val="false"/>
              <w:spacing w:before="0" w:after="160"/>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sz.zherebkove@dsns.gov.ua</w:t>
            </w:r>
          </w:p>
        </w:tc>
      </w:tr>
      <w:tr>
        <w:trPr>
          <w:trHeight w:val="15"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val="false"/>
                <w:iCs w:val="false"/>
                <w:color w:val="000000"/>
                <w:sz w:val="24"/>
                <w:szCs w:val="24"/>
              </w:rPr>
              <w:t>відкриті торги з особливостями</w:t>
            </w:r>
          </w:p>
        </w:tc>
      </w:tr>
      <w:tr>
        <w:trPr>
          <w:trHeight w:val="240"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i/>
                <w:iCs/>
                <w:sz w:val="24"/>
                <w:szCs w:val="24"/>
              </w:rPr>
              <w:t>Спеціальна аварійно-рятувальна машина важкого типу (САРМ-В)</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i/>
                <w:iCs/>
                <w:sz w:val="24"/>
                <w:szCs w:val="24"/>
              </w:rPr>
              <w:t>Код ДК 021:2015- 34140000-0: Великовантажні мототранспортні засоби</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20" w:hanging="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його поставки</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Спеціальна аварійно-рятувальна машина важкого типу (САРМ-В) – 1 од.</w:t>
            </w:r>
          </w:p>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Адреса поставки товару: 66410, Одеська обл., Подільський район, с. Жеребкове, вул.Арсенальна 128.</w:t>
            </w:r>
          </w:p>
        </w:tc>
      </w:tr>
      <w:tr>
        <w:trPr>
          <w:trHeight w:val="470"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13" w:hanging="0"/>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color w:val="000000"/>
                <w:sz w:val="24"/>
                <w:szCs w:val="24"/>
                <w:shd w:fill="auto" w:val="clear"/>
              </w:rPr>
              <w:t>строки поставки товарів, виконання робіт, надання послуг</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shd w:fill="auto" w:val="clear"/>
              </w:rPr>
            </w:pPr>
            <w:r>
              <w:rPr>
                <w:rFonts w:eastAsia="Times New Roman" w:cs="Times New Roman" w:ascii="Times New Roman" w:hAnsi="Times New Roman"/>
                <w:color w:val="000000"/>
                <w:kern w:val="0"/>
                <w:sz w:val="24"/>
                <w:szCs w:val="24"/>
                <w:shd w:fill="auto" w:val="clear"/>
                <w:lang w:val="uk-UA" w:eastAsia="ru-RU" w:bidi="ar-SA"/>
              </w:rPr>
              <w:t>В найкоротший термін після підписання договору, але не пізніше</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kern w:val="0"/>
                <w:sz w:val="24"/>
                <w:szCs w:val="24"/>
                <w:shd w:fill="auto" w:val="clear"/>
                <w:lang w:val="ru-RU" w:eastAsia="ru-RU" w:bidi="ar-SA"/>
              </w:rPr>
              <w:t>20.12</w:t>
            </w:r>
            <w:r>
              <w:rPr>
                <w:rFonts w:eastAsia="Times New Roman" w:cs="Times New Roman" w:ascii="Times New Roman" w:hAnsi="Times New Roman"/>
                <w:color w:val="000000"/>
                <w:sz w:val="24"/>
                <w:szCs w:val="24"/>
                <w:shd w:fill="auto" w:val="clear"/>
                <w:lang w:val="ru-RU"/>
              </w:rPr>
              <w:t>.2023</w:t>
            </w:r>
            <w:r>
              <w:rPr>
                <w:rFonts w:eastAsia="Times New Roman" w:cs="Times New Roman" w:ascii="Times New Roman" w:hAnsi="Times New Roman"/>
                <w:color w:val="000000"/>
                <w:sz w:val="24"/>
                <w:szCs w:val="24"/>
                <w:shd w:fill="auto" w:val="clear"/>
              </w:rPr>
              <w:t xml:space="preserve"> року</w:t>
            </w:r>
          </w:p>
        </w:tc>
      </w:tr>
      <w:tr>
        <w:trPr>
          <w:trHeight w:val="73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Недискримінація учасників</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737"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rPr>
                <w:rFonts w:ascii="Times New Roman" w:hAnsi="Times New Roman"/>
                <w:sz w:val="24"/>
                <w:szCs w:val="24"/>
              </w:rPr>
            </w:pPr>
            <w:r>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813"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(Пункт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pacing w:before="0" w:after="160"/>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Зазначена у цій частині інформація оприлюднюється замовником з урахуванням положень цього пункту.</w:t>
            </w:r>
          </w:p>
        </w:tc>
      </w:tr>
      <w:tr>
        <w:trPr>
          <w:trHeight w:val="254"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pPr>
            <w:r>
              <w:rPr>
                <w:rFonts w:eastAsia="Times New Roman" w:cs="Times New Roman" w:ascii="Times New Roman" w:hAnsi="Times New Roman"/>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Особливостей</w:t>
            </w:r>
            <w:r>
              <w:rPr>
                <w:rFonts w:eastAsia="Times New Roman" w:cs="Times New Roman" w:ascii="Times New Roman" w:hAnsi="Times New Roman"/>
                <w:sz w:val="24"/>
                <w:szCs w:val="24"/>
              </w:rPr>
              <w:t xml:space="preserve">, – </w:t>
            </w:r>
            <w:r>
              <w:rPr>
                <w:rFonts w:eastAsia="Times New Roman" w:cs="Times New Roman" w:ascii="Times New Roman" w:hAnsi="Times New Roman"/>
                <w:b/>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eastAsia="Times New Roman" w:cs="Times New Roman" w:ascii="Times New Roman" w:hAnsi="Times New Roman"/>
                <w:color w:val="000000"/>
                <w:sz w:val="24"/>
                <w:szCs w:val="24"/>
              </w:rPr>
              <w:t xml:space="preserve">замовником вимогам (у разі встановлення даної вимоги), — </w:t>
            </w:r>
            <w:r>
              <w:rPr>
                <w:rFonts w:eastAsia="Times New Roman" w:cs="Times New Roman" w:ascii="Times New Roman" w:hAnsi="Times New Roman"/>
                <w:b/>
                <w:color w:val="000000"/>
                <w:sz w:val="24"/>
                <w:szCs w:val="24"/>
              </w:rPr>
              <w:t>згідно з Додатком 1</w:t>
            </w:r>
            <w:r>
              <w:rPr>
                <w:rFonts w:eastAsia="Times New Roman" w:cs="Times New Roman" w:ascii="Times New Roman" w:hAnsi="Times New Roman"/>
                <w:color w:val="000000"/>
                <w:sz w:val="24"/>
                <w:szCs w:val="24"/>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w:t>
            </w:r>
            <w:r>
              <w:rPr>
                <w:rFonts w:eastAsia="Times New Roman" w:cs="Times New Roman" w:ascii="Times New Roman" w:hAnsi="Times New Roman"/>
                <w:color w:val="000000"/>
                <w:sz w:val="24"/>
                <w:szCs w:val="24"/>
              </w:rPr>
              <w:t>тендерної пропозиції (якщо таке забезпечення передбачено оголошенням про проведення процедури закупівлі);</w:t>
            </w:r>
          </w:p>
          <w:p>
            <w:pPr>
              <w:pStyle w:val="Normal"/>
              <w:widowControl w:val="false"/>
              <w:numPr>
                <w:ilvl w:val="0"/>
                <w:numId w:val="3"/>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rPr>
              <w:t>у</w:t>
            </w:r>
            <w:r>
              <w:rPr>
                <w:rFonts w:eastAsia="Times New Roman" w:cs="Times New Roman" w:ascii="Times New Roman" w:hAnsi="Times New Roman"/>
                <w:b/>
                <w:color w:val="000000"/>
                <w:sz w:val="24"/>
                <w:szCs w:val="24"/>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rPr>
              <w:t>п</w:t>
            </w:r>
            <w:r>
              <w:rPr>
                <w:rFonts w:eastAsia="Times New Roman" w:cs="Times New Roman" w:ascii="Times New Roman" w:hAnsi="Times New Roman"/>
                <w:b/>
                <w:color w:val="000000"/>
                <w:sz w:val="24"/>
                <w:szCs w:val="24"/>
              </w:rPr>
              <w:t>останови Кабінету Міністрів України № 332 від 04.04.2001 р.</w:t>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00000"/>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486"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40" w:leader="none"/>
              </w:tabs>
              <w:spacing w:before="0" w:after="160"/>
              <w:ind w:left="0" w:right="50" w:hanging="0"/>
              <w:jc w:val="both"/>
              <w:rPr>
                <w:rFonts w:ascii="Times New Roman" w:hAnsi="Times New Roman" w:cs="Times New Roman"/>
                <w:sz w:val="24"/>
                <w:szCs w:val="24"/>
              </w:rPr>
            </w:pPr>
            <w:r>
              <w:rPr>
                <w:rFonts w:cs="Times New Roman" w:ascii="Times New Roman" w:hAnsi="Times New Roman"/>
                <w:sz w:val="24"/>
                <w:szCs w:val="24"/>
              </w:rPr>
              <w:t>Забезпечення тендерної пропозиції не вимагається.</w:t>
            </w:r>
          </w:p>
        </w:tc>
      </w:tr>
      <w:tr>
        <w:trPr>
          <w:trHeight w:val="697"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t>Не передбачається.</w:t>
            </w:r>
          </w:p>
        </w:tc>
      </w:tr>
      <w:tr>
        <w:trPr>
          <w:trHeight w:val="560"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0877"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Кваліфікаційні критерії до учасників процедури закупівлі та вимоги, установлені пунктом 47 Особливостей</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28 особливостей) У тендерній документації обов’язково зазначаються:</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Pr>
                <w:rFonts w:eastAsia="Times New Roman" w:cs="Times New Roman" w:ascii="Times New Roman" w:hAnsi="Times New Roman"/>
                <w:color w:val="000000"/>
                <w:sz w:val="24"/>
                <w:szCs w:val="24"/>
                <w:lang w:val="ru-RU"/>
              </w:rPr>
              <w:t>(Додаток 1)</w:t>
            </w:r>
            <w:r>
              <w:rPr>
                <w:rFonts w:eastAsia="Times New Roman" w:cs="Times New Roman" w:ascii="Times New Roman" w:hAnsi="Times New Roman"/>
                <w:color w:val="000000"/>
                <w:sz w:val="24"/>
                <w:szCs w:val="24"/>
              </w:rPr>
              <w:t>;</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Кваліфікаційні критерії та спосіб їх підтвердження: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 наявність в учасника процедури закупівлі обладнання, матеріально-технічної бази та технологій;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встановлює один кваліфікаційний критерій, а саме:</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Інші вимоги</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спосіб підтвердження їх відсутності</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t>.</w:t>
            </w:r>
          </w:p>
        </w:tc>
      </w:tr>
      <w:tr>
        <w:trPr>
          <w:trHeight w:val="84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передбачено.</w:t>
            </w:r>
          </w:p>
        </w:tc>
      </w:tr>
      <w:tr>
        <w:trPr>
          <w:trHeight w:val="841"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Кінцевий строк подання тендерних пропозицій —</w:t>
            </w:r>
          </w:p>
          <w:p>
            <w:pPr>
              <w:pStyle w:val="Normal"/>
              <w:widowControl w:val="false"/>
              <w:jc w:val="both"/>
              <w:rPr/>
            </w:pPr>
            <w:r>
              <w:rPr>
                <w:rFonts w:eastAsia="Times New Roman" w:cs="Times New Roman" w:ascii="Times New Roman" w:hAnsi="Times New Roman"/>
                <w:b/>
                <w:sz w:val="24"/>
                <w:szCs w:val="24"/>
              </w:rPr>
              <w:t xml:space="preserve">До </w:t>
            </w:r>
            <w:r>
              <w:rPr>
                <w:rFonts w:eastAsia="Times New Roman" w:cs="Times New Roman" w:ascii="Times New Roman" w:hAnsi="Times New Roman"/>
                <w:b/>
                <w:color w:val="auto"/>
                <w:kern w:val="0"/>
                <w:sz w:val="24"/>
                <w:szCs w:val="24"/>
                <w:lang w:val="ru-RU" w:eastAsia="ru-RU" w:bidi="ar-SA"/>
              </w:rPr>
              <w:t>2</w:t>
            </w:r>
            <w:r>
              <w:rPr>
                <w:rFonts w:eastAsia="Times New Roman" w:cs="Times New Roman" w:ascii="Times New Roman" w:hAnsi="Times New Roman"/>
                <w:b/>
                <w:color w:val="auto"/>
                <w:kern w:val="0"/>
                <w:sz w:val="24"/>
                <w:szCs w:val="24"/>
                <w:lang w:val="ru-RU" w:eastAsia="ru-RU" w:bidi="ar-SA"/>
              </w:rPr>
              <w:t>1.0</w:t>
            </w:r>
            <w:r>
              <w:rPr>
                <w:rFonts w:eastAsia="Times New Roman" w:cs="Times New Roman" w:ascii="Times New Roman" w:hAnsi="Times New Roman"/>
                <w:b/>
                <w:color w:val="auto"/>
                <w:kern w:val="0"/>
                <w:sz w:val="24"/>
                <w:szCs w:val="24"/>
                <w:lang w:val="ru-RU" w:eastAsia="ru-RU" w:bidi="ar-SA"/>
              </w:rPr>
              <w:t>9</w:t>
            </w:r>
            <w:r>
              <w:rPr>
                <w:rFonts w:eastAsia="Times New Roman" w:cs="Times New Roman" w:ascii="Times New Roman" w:hAnsi="Times New Roman"/>
                <w:b/>
                <w:sz w:val="24"/>
                <w:szCs w:val="24"/>
              </w:rPr>
              <w:t xml:space="preserve">.2023 року </w:t>
            </w:r>
            <w:r>
              <w:rPr>
                <w:rFonts w:eastAsia="Times New Roman" w:cs="Times New Roman" w:ascii="Times New Roman" w:hAnsi="Times New Roman"/>
                <w:b/>
                <w:color w:val="auto"/>
                <w:kern w:val="0"/>
                <w:sz w:val="24"/>
                <w:szCs w:val="24"/>
                <w:lang w:val="ru-RU" w:eastAsia="ru-RU" w:bidi="ar-SA"/>
              </w:rPr>
              <w:t>10</w:t>
            </w:r>
            <w:r>
              <w:rPr>
                <w:rFonts w:eastAsia="Times New Roman" w:cs="Times New Roman" w:ascii="Times New Roman" w:hAnsi="Times New Roman"/>
                <w:b/>
                <w:sz w:val="24"/>
                <w:szCs w:val="24"/>
              </w:rPr>
              <w:t>:00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671"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Розгляд та оцінка тендерних пропозицій відбуваються відповідно до пунктів 35-</w:t>
            </w:r>
            <w:r>
              <w:rPr>
                <w:rFonts w:eastAsia="Times New Roman" w:cs="Times New Roman" w:ascii="Times New Roman" w:hAnsi="Times New Roman"/>
                <w:sz w:val="24"/>
                <w:szCs w:val="24"/>
                <w:shd w:fill="auto" w:val="clear"/>
                <w:lang w:val="ru-RU"/>
              </w:rPr>
              <w:t>39</w:t>
            </w:r>
            <w:r>
              <w:rPr>
                <w:rFonts w:eastAsia="Times New Roman" w:cs="Times New Roman" w:ascii="Times New Roman" w:hAnsi="Times New Roman"/>
                <w:sz w:val="24"/>
                <w:szCs w:val="24"/>
                <w:shd w:fill="auto" w:val="clear"/>
              </w:rPr>
              <w:t xml:space="preserve"> Особливостей.</w:t>
            </w:r>
          </w:p>
          <w:p>
            <w:pPr>
              <w:pStyle w:val="Normal"/>
              <w:widowControl w:val="false"/>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Оцінка тендерної пропозиції проводиться електрон</w:t>
            </w:r>
            <w:r>
              <w:rPr>
                <w:rFonts w:eastAsia="Times New Roman" w:cs="Times New Roman" w:ascii="Times New Roman" w:hAnsi="Times New Roman"/>
                <w:color w:val="000000"/>
                <w:sz w:val="24"/>
                <w:szCs w:val="24"/>
              </w:rPr>
              <w:t>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товар/послуги/роботи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поставити/надати/виконати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товару/послуг/робіт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shd w:fill="FFFFFF" w:val="clear"/>
              </w:rPr>
              <w:t xml:space="preserve">не може бути меншим ніж два робочі дні </w:t>
            </w:r>
            <w:r>
              <w:rPr>
                <w:rFonts w:eastAsia="Times New Roman" w:cs="Times New Roman" w:ascii="Times New Roman" w:hAnsi="Times New Roman"/>
                <w:sz w:val="24"/>
                <w:szCs w:val="24"/>
                <w:shd w:fill="FFFFFF"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Під невідповідністю</w:t>
            </w:r>
            <w:r>
              <w:rPr>
                <w:rFonts w:eastAsia="Times New Roman" w:cs="Times New Roman" w:ascii="Times New Roman" w:hAnsi="Times New Roman"/>
                <w:sz w:val="24"/>
                <w:szCs w:val="24"/>
                <w:shd w:fill="FFFFFF"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eastAsia="Times New Roman" w:cs="Times New Roman" w:ascii="Times New Roman" w:hAnsi="Times New Roman"/>
                <w:color w:val="000000"/>
                <w:sz w:val="24"/>
                <w:szCs w:val="24"/>
                <w:shd w:fill="FFFFFF" w:val="clear"/>
              </w:rPr>
              <w:t xml:space="preserve">замовником, та/або відсутності інформації (та/або документів) про </w:t>
            </w:r>
            <w:r>
              <w:rPr>
                <w:rFonts w:eastAsia="Times New Roman" w:cs="Times New Roman" w:ascii="Times New Roman" w:hAnsi="Times New Roman"/>
                <w:sz w:val="24"/>
                <w:szCs w:val="24"/>
                <w:shd w:fill="FFFFFF" w:val="clear"/>
              </w:rPr>
              <w:t>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Невідповідністю</w:t>
            </w:r>
            <w:r>
              <w:rPr>
                <w:rFonts w:eastAsia="Times New Roman" w:cs="Times New Roman" w:ascii="Times New Roman" w:hAnsi="Times New Roman"/>
                <w:sz w:val="24"/>
                <w:szCs w:val="24"/>
                <w:shd w:fill="FFFFFF"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537"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 xml:space="preserve">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w:t>
            </w:r>
            <w:r>
              <w:rPr>
                <w:rFonts w:eastAsia="Times New Roman" w:cs="Times New Roman" w:ascii="Times New Roman" w:hAnsi="Times New Roman"/>
                <w:color w:val="000000"/>
                <w:sz w:val="24"/>
                <w:szCs w:val="24"/>
              </w:rPr>
              <w:t>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визначеного строку;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eastAsia="Times New Roman" w:cs="Times New Roman" w:ascii="Times New Roman" w:hAnsi="Times New Roman"/>
                <w:color w:val="000000"/>
                <w:kern w:val="0"/>
                <w:sz w:val="24"/>
                <w:szCs w:val="24"/>
                <w:lang w:val="ru-RU" w:eastAsia="ru-RU" w:bidi="ar-SA"/>
              </w:rPr>
              <w:t>3</w:t>
            </w:r>
            <w:r>
              <w:rPr>
                <w:rFonts w:eastAsia="Times New Roman" w:cs="Times New Roman" w:ascii="Times New Roman" w:hAnsi="Times New Roman"/>
                <w:color w:val="000000"/>
                <w:sz w:val="24"/>
                <w:szCs w:val="24"/>
              </w:rPr>
              <w:t xml:space="preserve"> цих особливостей;</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eastAsia="Times New Roman" w:cs="Times New Roman" w:ascii="Times New Roman" w:hAnsi="Times New Roman"/>
                <w:color w:val="000000"/>
                <w:sz w:val="24"/>
                <w:szCs w:val="24"/>
              </w:rPr>
              <w:t>;</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виявлено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 xml:space="preserve">не пізніш як через чотири дні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shd w:fill="FFFFFF" w:val="clear"/>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 xml:space="preserve">не може бути укладено раніше ніж через п’ять днів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4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eastAsia="Times New Roman" w:cs="Times New Roman" w:ascii="Times New Roman" w:hAnsi="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pPr>
            <w:r>
              <w:rPr>
                <w:rFonts w:eastAsia="Times New Roman" w:cs="Times New Roman" w:ascii="Times New Roman" w:hAnsi="Times New Roman"/>
                <w:i/>
                <w:color w:val="000000"/>
                <w:sz w:val="24"/>
                <w:szCs w:val="24"/>
                <w:shd w:fill="FFFFFF" w:val="clear"/>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shd w:fill="FFFFFF" w:val="clear"/>
              </w:rPr>
              <w:t xml:space="preserve"> підпункту 3  пункту 4</w:t>
            </w:r>
            <w:r>
              <w:rPr>
                <w:rFonts w:eastAsia="Times New Roman" w:cs="Times New Roman" w:ascii="Times New Roman" w:hAnsi="Times New Roman"/>
                <w:i/>
                <w:color w:val="000000"/>
                <w:kern w:val="0"/>
                <w:sz w:val="24"/>
                <w:szCs w:val="24"/>
                <w:shd w:fill="FFFFFF" w:val="clear"/>
                <w:lang w:val="ru-RU" w:eastAsia="ru-RU" w:bidi="ar-SA"/>
              </w:rPr>
              <w:t>4</w:t>
            </w:r>
            <w:r>
              <w:rPr>
                <w:rFonts w:eastAsia="Times New Roman" w:cs="Times New Roman" w:ascii="Times New Roman" w:hAnsi="Times New Roman"/>
                <w:i/>
                <w:sz w:val="24"/>
                <w:szCs w:val="24"/>
                <w:shd w:fill="FFFFFF" w:val="clear"/>
              </w:rPr>
              <w:t xml:space="preserve"> Особливостей.</w:t>
            </w:r>
          </w:p>
        </w:tc>
      </w:tr>
      <w:tr>
        <w:trPr>
          <w:trHeight w:val="1097"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4"/>
              </w:numPr>
              <w:spacing w:before="0" w:after="160"/>
              <w:ind w:left="0" w:right="0" w:firstLine="348"/>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trPr>
          <w:trHeight w:val="364"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pPr>
      <w:bookmarkStart w:id="6" w:name="_heading=h.2s8eyo1"/>
      <w:bookmarkEnd w:id="6"/>
      <w:r>
        <w:rPr>
          <w:rFonts w:eastAsia="Times New Roman" w:cs="Times New Roman" w:ascii="Times New Roman" w:hAnsi="Times New Roman"/>
          <w:sz w:val="20"/>
          <w:szCs w:val="20"/>
          <w:shd w:fill="FFFFFF" w:val="clear"/>
        </w:rPr>
        <w:t>Додатки: 1. Додаток 1 (</w:t>
      </w:r>
      <w:r>
        <w:rPr>
          <w:rFonts w:eastAsia="Times New Roman" w:cs="Times New Roman" w:ascii="Times New Roman" w:hAnsi="Times New Roman"/>
          <w:sz w:val="20"/>
          <w:szCs w:val="20"/>
        </w:rPr>
        <w:t>кваліфікаційні критерії, вимоги  Особливостей  та інші вимоги)</w:t>
      </w:r>
      <w:r>
        <w:rPr>
          <w:rFonts w:eastAsia="Times New Roman" w:cs="Times New Roman" w:ascii="Times New Roman" w:hAnsi="Times New Roman"/>
          <w:sz w:val="20"/>
          <w:szCs w:val="20"/>
          <w:shd w:fill="FFFFFF" w:val="clear"/>
        </w:rPr>
        <w:t>;</w:t>
      </w:r>
    </w:p>
    <w:p>
      <w:pPr>
        <w:pStyle w:val="Normal"/>
        <w:widowControl w:val="false"/>
        <w:spacing w:lineRule="auto" w:line="240" w:before="0" w:after="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                 </w:t>
      </w:r>
      <w:r>
        <w:rPr>
          <w:rFonts w:eastAsia="Times New Roman" w:cs="Times New Roman" w:ascii="Times New Roman" w:hAnsi="Times New Roman"/>
          <w:sz w:val="20"/>
          <w:szCs w:val="20"/>
          <w:shd w:fill="FFFFFF" w:val="clear"/>
        </w:rPr>
        <w:t>2. Додаток 2 (технічні, якісні та кількісні характеристики предмета закупівлі);</w:t>
      </w:r>
    </w:p>
    <w:p>
      <w:pPr>
        <w:pStyle w:val="Normal"/>
        <w:widowControl w:val="false"/>
        <w:suppressAutoHyphens w:val="true"/>
        <w:bidi w:val="0"/>
        <w:spacing w:lineRule="auto" w:line="240" w:before="0" w:after="0"/>
        <w:ind w:left="0" w:right="0" w:firstLine="809"/>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3. Додаток 3 (проєкт Договору).</w:t>
      </w:r>
    </w:p>
    <w:p>
      <w:pPr>
        <w:pStyle w:val="Normal"/>
        <w:widowControl w:val="false"/>
        <w:spacing w:lineRule="auto" w:line="240" w:before="0" w:after="0"/>
        <w:jc w:val="both"/>
        <w:rPr/>
      </w:pPr>
      <w:r>
        <w:rPr/>
      </w:r>
    </w:p>
    <w:sectPr>
      <w:headerReference w:type="default" r:id="rId2"/>
      <w:headerReference w:type="first" r:id="rId3"/>
      <w:footerReference w:type="default" r:id="rId4"/>
      <w:type w:val="nextPage"/>
      <w:pgSz w:w="11906" w:h="16838"/>
      <w:pgMar w:left="1701" w:right="567" w:header="709" w:top="766" w:footer="709" w:bottom="766"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4">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Интернет-ссылка"/>
    <w:basedOn w:val="DefaultParagraphFont"/>
    <w:rPr>
      <w:color w:val="0563C1"/>
      <w:u w:val="single"/>
    </w:rPr>
  </w:style>
  <w:style w:type="character" w:styleId="11">
    <w:name w:val="Незакрита згадка1"/>
    <w:basedOn w:val="DefaultParagraphFont"/>
    <w:qFormat/>
    <w:rPr>
      <w:color w:val="605E5C"/>
      <w:shd w:fill="E1DFDD" w:val="clear"/>
    </w:rPr>
  </w:style>
  <w:style w:type="character" w:styleId="Style9">
    <w:name w:val="Текст у виносці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character" w:styleId="Style10">
    <w:name w:val="Верхній колонтитул Знак"/>
    <w:basedOn w:val="DefaultParagraphFont"/>
    <w:qFormat/>
    <w:rPr/>
  </w:style>
  <w:style w:type="character" w:styleId="Style11">
    <w:name w:val="Нижній колонтитул Знак"/>
    <w:basedOn w:val="DefaultParagraphFont"/>
    <w:qFormat/>
    <w:rPr/>
  </w:style>
  <w:style w:type="character" w:styleId="21">
    <w:name w:val="Незакрита згадка2"/>
    <w:basedOn w:val="DefaultParagraphFont"/>
    <w:qFormat/>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name w:val="Нормальний текст"/>
    <w:basedOn w:val="Normal"/>
    <w:qFormat/>
    <w:pPr>
      <w:spacing w:lineRule="auto" w:line="240" w:before="120" w:after="0"/>
      <w:ind w:left="0" w:right="0" w:firstLine="567"/>
    </w:pPr>
    <w:rPr>
      <w:rFonts w:ascii="Antiqua" w:hAnsi="Antiqua" w:eastAsia="Times New Roman" w:cs="Times New Roman"/>
      <w:sz w:val="26"/>
      <w:szCs w:val="20"/>
    </w:rPr>
  </w:style>
  <w:style w:type="paragraph" w:styleId="Style20">
    <w:name w:val="Верхний и нижний колонтитулы"/>
    <w:basedOn w:val="Normal"/>
    <w:qFormat/>
    <w:pPr/>
    <w:rPr/>
  </w:style>
  <w:style w:type="paragraph" w:styleId="Style21">
    <w:name w:val="Header"/>
    <w:basedOn w:val="Normal"/>
    <w:pPr>
      <w:tabs>
        <w:tab w:val="clear" w:pos="720"/>
        <w:tab w:val="center" w:pos="4677" w:leader="none"/>
        <w:tab w:val="right" w:pos="9355" w:leader="none"/>
      </w:tabs>
      <w:spacing w:lineRule="auto" w:line="240" w:before="0" w:after="0"/>
    </w:pPr>
    <w:rPr/>
  </w:style>
  <w:style w:type="paragraph" w:styleId="Style22">
    <w:name w:val="Footer"/>
    <w:basedOn w:val="Normal"/>
    <w:pPr>
      <w:tabs>
        <w:tab w:val="clear" w:pos="720"/>
        <w:tab w:val="center" w:pos="4677" w:leader="none"/>
        <w:tab w:val="right" w:pos="9355" w:leader="none"/>
      </w:tabs>
      <w:spacing w:lineRule="auto" w:line="240" w:before="0" w:after="0"/>
    </w:pPr>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Calibri" w:cs="Calibri"/>
      <w:color w:val="auto"/>
      <w:kern w:val="0"/>
      <w:sz w:val="22"/>
      <w:szCs w:val="22"/>
      <w:lang w:val="uk-UA" w:eastAsia="ru-RU" w:bidi="ar-SA"/>
    </w:rPr>
  </w:style>
  <w:style w:type="paragraph" w:styleId="Style23">
    <w:name w:val="Содержимое таблицы"/>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520</TotalTime>
  <Application>LibreOffice/7.0.3.1$Windows_X86_64 LibreOffice_project/d7547858d014d4cf69878db179d326fc3483e082</Application>
  <Pages>28</Pages>
  <Words>7389</Words>
  <Characters>51435</Characters>
  <CharactersWithSpaces>58657</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2023-03-09T13:29:00Z</dcterms:created>
  <dc:creator>userua12</dc:creator>
  <dc:description/>
  <dc:language>en-US</dc:language>
  <cp:lastModifiedBy/>
  <cp:lastPrinted>2023-07-28T15:40:25Z</cp:lastPrinted>
  <dcterms:modified xsi:type="dcterms:W3CDTF">2023-09-13T11:58:25Z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